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sz w:val="30"/>
          <w:szCs w:val="30"/>
          <w:lang w:val="en-US" w:eastAsia="zh-CN"/>
        </w:rPr>
      </w:pPr>
    </w:p>
    <w:p>
      <w:pPr>
        <w:jc w:val="center"/>
        <w:rPr>
          <w:rFonts w:hint="eastAsia" w:ascii="仿宋" w:hAnsi="仿宋" w:eastAsia="仿宋" w:cs="仿宋"/>
          <w:b/>
          <w:bCs/>
          <w:sz w:val="44"/>
          <w:szCs w:val="44"/>
          <w:lang w:val="en-US" w:eastAsia="zh-CN"/>
        </w:rPr>
      </w:pPr>
    </w:p>
    <w:p>
      <w:pPr>
        <w:jc w:val="center"/>
        <w:rPr>
          <w:rFonts w:hint="eastAsia" w:ascii="仿宋" w:hAnsi="仿宋" w:eastAsia="仿宋" w:cs="仿宋"/>
          <w:b/>
          <w:bCs/>
          <w:sz w:val="44"/>
          <w:szCs w:val="44"/>
          <w:lang w:val="en-US" w:eastAsia="zh-CN"/>
        </w:rPr>
      </w:pPr>
      <w:bookmarkStart w:id="0" w:name="_GoBack"/>
      <w:bookmarkEnd w:id="0"/>
      <w:r>
        <w:rPr>
          <w:rFonts w:hint="eastAsia" w:ascii="仿宋" w:hAnsi="仿宋" w:eastAsia="仿宋" w:cs="仿宋"/>
          <w:b/>
          <w:bCs/>
          <w:sz w:val="44"/>
          <w:szCs w:val="44"/>
          <w:lang w:val="en-US" w:eastAsia="zh-CN"/>
        </w:rPr>
        <w:t>内蒙古自治区物业管理项目</w:t>
      </w:r>
    </w:p>
    <w:p>
      <w:pPr>
        <w:jc w:val="center"/>
        <w:rPr>
          <w:rFonts w:hint="eastAsia" w:ascii="仿宋" w:hAnsi="仿宋" w:eastAsia="仿宋" w:cs="仿宋"/>
          <w:b/>
          <w:bCs/>
          <w:sz w:val="44"/>
          <w:szCs w:val="44"/>
          <w:lang w:val="en-US" w:eastAsia="zh-CN"/>
        </w:rPr>
      </w:pPr>
      <w:r>
        <w:rPr>
          <w:rFonts w:hint="eastAsia" w:ascii="仿宋" w:hAnsi="仿宋" w:eastAsia="仿宋" w:cs="仿宋"/>
          <w:b/>
          <w:bCs/>
          <w:sz w:val="44"/>
          <w:szCs w:val="44"/>
          <w:lang w:val="en-US" w:eastAsia="zh-CN"/>
        </w:rPr>
        <w:t>创优达标评价申报表</w:t>
      </w:r>
    </w:p>
    <w:p>
      <w:pPr>
        <w:jc w:val="center"/>
        <w:rPr>
          <w:rFonts w:hint="eastAsia" w:ascii="仿宋" w:hAnsi="仿宋" w:eastAsia="仿宋" w:cs="仿宋"/>
          <w:b/>
          <w:bCs/>
          <w:sz w:val="44"/>
          <w:szCs w:val="44"/>
          <w:lang w:val="en-US" w:eastAsia="zh-CN"/>
        </w:rPr>
      </w:pPr>
      <w:r>
        <w:rPr>
          <w:rFonts w:hint="eastAsia" w:ascii="仿宋" w:hAnsi="仿宋" w:eastAsia="仿宋" w:cs="仿宋"/>
          <w:b/>
          <w:bCs/>
          <w:sz w:val="44"/>
          <w:szCs w:val="44"/>
          <w:lang w:val="en-US" w:eastAsia="zh-CN"/>
        </w:rPr>
        <w:t>（非居住物业）</w:t>
      </w:r>
    </w:p>
    <w:p>
      <w:pPr>
        <w:jc w:val="center"/>
        <w:rPr>
          <w:rFonts w:hint="eastAsia" w:ascii="仿宋" w:hAnsi="仿宋" w:eastAsia="仿宋" w:cs="仿宋"/>
          <w:b/>
          <w:bCs/>
          <w:sz w:val="44"/>
          <w:szCs w:val="44"/>
          <w:lang w:val="en-US" w:eastAsia="zh-CN"/>
        </w:rPr>
      </w:pPr>
    </w:p>
    <w:p>
      <w:pPr>
        <w:jc w:val="center"/>
        <w:rPr>
          <w:rFonts w:hint="eastAsia" w:ascii="仿宋" w:hAnsi="仿宋" w:eastAsia="仿宋" w:cs="仿宋"/>
          <w:b/>
          <w:bCs/>
          <w:sz w:val="44"/>
          <w:szCs w:val="44"/>
          <w:lang w:val="en-US" w:eastAsia="zh-CN"/>
        </w:rPr>
      </w:pPr>
    </w:p>
    <w:p>
      <w:pPr>
        <w:jc w:val="center"/>
        <w:rPr>
          <w:rFonts w:hint="eastAsia" w:ascii="仿宋" w:hAnsi="仿宋" w:eastAsia="仿宋" w:cs="仿宋"/>
          <w:b/>
          <w:bCs/>
          <w:sz w:val="44"/>
          <w:szCs w:val="44"/>
          <w:lang w:val="en-US" w:eastAsia="zh-CN"/>
        </w:rPr>
      </w:pPr>
    </w:p>
    <w:p>
      <w:pPr>
        <w:jc w:val="center"/>
        <w:rPr>
          <w:rFonts w:hint="eastAsia" w:ascii="仿宋" w:hAnsi="仿宋" w:eastAsia="仿宋" w:cs="仿宋"/>
          <w:b/>
          <w:bCs/>
          <w:sz w:val="44"/>
          <w:szCs w:val="44"/>
          <w:lang w:val="en-US" w:eastAsia="zh-CN"/>
        </w:rPr>
      </w:pPr>
    </w:p>
    <w:p>
      <w:pPr>
        <w:jc w:val="center"/>
        <w:rPr>
          <w:rFonts w:hint="eastAsia" w:ascii="仿宋" w:hAnsi="仿宋" w:eastAsia="仿宋" w:cs="仿宋"/>
          <w:b/>
          <w:bCs/>
          <w:sz w:val="44"/>
          <w:szCs w:val="44"/>
          <w:lang w:val="en-US" w:eastAsia="zh-CN"/>
        </w:rPr>
      </w:pPr>
    </w:p>
    <w:p>
      <w:pPr>
        <w:jc w:val="center"/>
        <w:rPr>
          <w:rFonts w:hint="eastAsia" w:ascii="仿宋" w:hAnsi="仿宋" w:eastAsia="仿宋" w:cs="仿宋"/>
          <w:b/>
          <w:bCs/>
          <w:sz w:val="44"/>
          <w:szCs w:val="44"/>
          <w:lang w:val="en-US" w:eastAsia="zh-CN"/>
        </w:rPr>
      </w:pPr>
    </w:p>
    <w:p>
      <w:pPr>
        <w:jc w:val="center"/>
        <w:rPr>
          <w:rFonts w:hint="eastAsia" w:ascii="仿宋" w:hAnsi="仿宋" w:eastAsia="仿宋" w:cs="仿宋"/>
          <w:b/>
          <w:bCs/>
          <w:sz w:val="44"/>
          <w:szCs w:val="44"/>
          <w:lang w:val="en-US" w:eastAsia="zh-CN"/>
        </w:rPr>
      </w:pPr>
    </w:p>
    <w:p>
      <w:pPr>
        <w:jc w:val="center"/>
        <w:rPr>
          <w:rFonts w:hint="eastAsia" w:ascii="仿宋" w:hAnsi="仿宋" w:eastAsia="仿宋" w:cs="仿宋"/>
          <w:b/>
          <w:bCs/>
          <w:sz w:val="44"/>
          <w:szCs w:val="44"/>
          <w:lang w:val="en-US" w:eastAsia="zh-CN"/>
        </w:rPr>
      </w:pPr>
    </w:p>
    <w:p>
      <w:pPr>
        <w:jc w:val="center"/>
        <w:rPr>
          <w:rFonts w:hint="eastAsia" w:ascii="仿宋" w:hAnsi="仿宋" w:eastAsia="仿宋" w:cs="仿宋"/>
          <w:b/>
          <w:bCs/>
          <w:sz w:val="44"/>
          <w:szCs w:val="44"/>
          <w:lang w:val="en-US" w:eastAsia="zh-CN"/>
        </w:rPr>
      </w:pPr>
    </w:p>
    <w:p>
      <w:pPr>
        <w:jc w:val="center"/>
        <w:rPr>
          <w:rFonts w:hint="eastAsia" w:ascii="仿宋" w:hAnsi="仿宋" w:eastAsia="仿宋" w:cs="仿宋"/>
          <w:b/>
          <w:bCs/>
          <w:sz w:val="44"/>
          <w:szCs w:val="44"/>
          <w:lang w:val="en-US" w:eastAsia="zh-CN"/>
        </w:rPr>
      </w:pPr>
    </w:p>
    <w:p>
      <w:pPr>
        <w:jc w:val="center"/>
        <w:rPr>
          <w:rFonts w:hint="eastAsia" w:ascii="仿宋" w:hAnsi="仿宋" w:eastAsia="仿宋" w:cs="仿宋"/>
          <w:b/>
          <w:bCs/>
          <w:sz w:val="44"/>
          <w:szCs w:val="44"/>
          <w:lang w:val="en-US" w:eastAsia="zh-CN"/>
        </w:rPr>
      </w:pPr>
    </w:p>
    <w:p>
      <w:pPr>
        <w:ind w:firstLine="1424" w:firstLineChars="445"/>
        <w:rPr>
          <w:rFonts w:hint="eastAsia" w:ascii="仿宋_GB2312" w:hAnsi="宋体" w:eastAsia="仿宋_GB2312"/>
          <w:bCs/>
          <w:sz w:val="32"/>
          <w:szCs w:val="32"/>
          <w:u w:val="single"/>
        </w:rPr>
      </w:pPr>
      <w:r>
        <w:rPr>
          <w:rFonts w:hint="eastAsia" w:ascii="仿宋_GB2312" w:hAnsi="宋体" w:eastAsia="仿宋_GB2312"/>
          <w:bCs/>
          <w:sz w:val="32"/>
          <w:szCs w:val="32"/>
        </w:rPr>
        <w:t>项目名称：</w:t>
      </w:r>
      <w:r>
        <w:rPr>
          <w:rFonts w:hint="eastAsia" w:ascii="仿宋_GB2312" w:hAnsi="宋体" w:eastAsia="仿宋_GB2312"/>
          <w:bCs/>
          <w:sz w:val="32"/>
          <w:szCs w:val="32"/>
          <w:u w:val="single"/>
        </w:rPr>
        <w:t xml:space="preserve">                        </w:t>
      </w:r>
    </w:p>
    <w:p>
      <w:pPr>
        <w:ind w:firstLine="1424" w:firstLineChars="445"/>
        <w:rPr>
          <w:rFonts w:hint="eastAsia" w:ascii="仿宋_GB2312" w:hAnsi="宋体" w:eastAsia="仿宋_GB2312"/>
          <w:bCs/>
          <w:sz w:val="32"/>
          <w:szCs w:val="32"/>
          <w:u w:val="single"/>
        </w:rPr>
      </w:pPr>
      <w:r>
        <w:rPr>
          <w:rFonts w:hint="eastAsia" w:ascii="仿宋_GB2312" w:hAnsi="宋体" w:eastAsia="仿宋_GB2312"/>
          <w:bCs/>
          <w:sz w:val="32"/>
          <w:szCs w:val="32"/>
          <w:lang w:eastAsia="zh-CN"/>
        </w:rPr>
        <w:t>达标类型</w:t>
      </w:r>
      <w:r>
        <w:rPr>
          <w:rFonts w:hint="eastAsia" w:ascii="仿宋_GB2312" w:hAnsi="宋体" w:eastAsia="仿宋_GB2312"/>
          <w:bCs/>
          <w:sz w:val="32"/>
          <w:szCs w:val="32"/>
        </w:rPr>
        <w:t>：</w:t>
      </w:r>
      <w:r>
        <w:rPr>
          <w:rFonts w:hint="eastAsia" w:ascii="仿宋_GB2312" w:hAnsi="宋体" w:eastAsia="仿宋_GB2312"/>
          <w:bCs/>
          <w:sz w:val="32"/>
          <w:szCs w:val="32"/>
          <w:u w:val="single"/>
        </w:rPr>
        <w:t xml:space="preserve"> </w:t>
      </w:r>
      <w:r>
        <w:rPr>
          <w:rFonts w:hint="eastAsia" w:ascii="仿宋_GB2312" w:hAnsi="宋体" w:eastAsia="仿宋_GB2312"/>
          <w:bCs/>
          <w:sz w:val="32"/>
          <w:szCs w:val="32"/>
          <w:u w:val="single"/>
          <w:lang w:eastAsia="zh-CN"/>
        </w:rPr>
        <w:t>示范</w:t>
      </w:r>
      <w:r>
        <w:rPr>
          <w:rFonts w:hint="eastAsia" w:ascii="仿宋_GB2312" w:hAnsi="宋体" w:eastAsia="仿宋_GB2312"/>
          <w:bCs/>
          <w:sz w:val="32"/>
          <w:szCs w:val="32"/>
          <w:u w:val="single"/>
          <w:lang w:eastAsia="zh-CN"/>
        </w:rPr>
        <w:sym w:font="Wingdings" w:char="00A8"/>
      </w:r>
      <w:r>
        <w:rPr>
          <w:rFonts w:hint="eastAsia" w:ascii="仿宋_GB2312" w:hAnsi="宋体" w:eastAsia="仿宋_GB2312"/>
          <w:bCs/>
          <w:sz w:val="32"/>
          <w:szCs w:val="32"/>
          <w:u w:val="single"/>
          <w:lang w:val="en-US" w:eastAsia="zh-CN"/>
        </w:rPr>
        <w:t xml:space="preserve">    优秀</w:t>
      </w:r>
      <w:r>
        <w:rPr>
          <w:rFonts w:hint="eastAsia" w:ascii="仿宋_GB2312" w:hAnsi="宋体" w:eastAsia="仿宋_GB2312"/>
          <w:bCs/>
          <w:sz w:val="32"/>
          <w:szCs w:val="32"/>
          <w:u w:val="single"/>
          <w:lang w:val="en-US" w:eastAsia="zh-CN"/>
        </w:rPr>
        <w:sym w:font="Wingdings" w:char="00A8"/>
      </w:r>
      <w:r>
        <w:rPr>
          <w:rFonts w:hint="eastAsia" w:ascii="仿宋_GB2312" w:hAnsi="宋体" w:eastAsia="仿宋_GB2312"/>
          <w:bCs/>
          <w:sz w:val="32"/>
          <w:szCs w:val="32"/>
          <w:u w:val="single"/>
        </w:rPr>
        <w:t xml:space="preserve"> </w:t>
      </w:r>
      <w:r>
        <w:rPr>
          <w:rFonts w:hint="eastAsia" w:ascii="仿宋_GB2312" w:hAnsi="宋体" w:eastAsia="仿宋_GB2312"/>
          <w:bCs/>
          <w:sz w:val="32"/>
          <w:szCs w:val="32"/>
          <w:u w:val="single"/>
          <w:lang w:val="en-US" w:eastAsia="zh-CN"/>
        </w:rPr>
        <w:t xml:space="preserve"> </w:t>
      </w:r>
      <w:r>
        <w:rPr>
          <w:rFonts w:hint="eastAsia" w:ascii="仿宋_GB2312" w:hAnsi="宋体" w:eastAsia="仿宋_GB2312"/>
          <w:bCs/>
          <w:sz w:val="32"/>
          <w:szCs w:val="32"/>
          <w:u w:val="single"/>
        </w:rPr>
        <w:t xml:space="preserve">     </w:t>
      </w:r>
    </w:p>
    <w:p>
      <w:pPr>
        <w:ind w:firstLine="1424" w:firstLineChars="445"/>
        <w:rPr>
          <w:rFonts w:hint="eastAsia" w:ascii="仿宋_GB2312" w:eastAsia="仿宋_GB2312"/>
          <w:bCs/>
          <w:sz w:val="32"/>
          <w:szCs w:val="32"/>
          <w:u w:val="single"/>
        </w:rPr>
      </w:pPr>
      <w:r>
        <w:rPr>
          <w:rFonts w:hint="eastAsia" w:ascii="仿宋_GB2312" w:hAnsi="宋体" w:eastAsia="仿宋_GB2312"/>
          <w:bCs/>
          <w:sz w:val="32"/>
          <w:szCs w:val="32"/>
        </w:rPr>
        <w:t>申报日期：</w:t>
      </w:r>
      <w:r>
        <w:rPr>
          <w:rFonts w:hint="eastAsia" w:ascii="仿宋_GB2312" w:hAnsi="宋体" w:eastAsia="仿宋_GB2312"/>
          <w:bCs/>
          <w:sz w:val="32"/>
          <w:szCs w:val="32"/>
          <w:u w:val="single"/>
        </w:rPr>
        <w:t xml:space="preserve">                        </w:t>
      </w:r>
    </w:p>
    <w:p>
      <w:pPr>
        <w:ind w:firstLine="1424" w:firstLineChars="445"/>
        <w:rPr>
          <w:rFonts w:hint="eastAsia" w:ascii="宋体"/>
          <w:b/>
          <w:sz w:val="36"/>
          <w:szCs w:val="36"/>
        </w:rPr>
        <w:sectPr>
          <w:pgSz w:w="11906" w:h="16838"/>
          <w:pgMar w:top="1440" w:right="1800" w:bottom="1440" w:left="1800" w:header="851" w:footer="992" w:gutter="0"/>
          <w:cols w:space="425" w:num="1"/>
          <w:docGrid w:type="lines" w:linePitch="312" w:charSpace="0"/>
        </w:sectPr>
      </w:pPr>
      <w:r>
        <w:rPr>
          <w:rFonts w:hint="eastAsia" w:ascii="仿宋_GB2312" w:hAnsi="宋体" w:eastAsia="仿宋_GB2312"/>
          <w:bCs/>
          <w:sz w:val="32"/>
          <w:szCs w:val="32"/>
        </w:rPr>
        <w:t>服务企业名称：</w:t>
      </w:r>
      <w:r>
        <w:rPr>
          <w:rFonts w:hint="eastAsia" w:ascii="仿宋_GB2312" w:hAnsi="宋体" w:eastAsia="仿宋_GB2312"/>
          <w:bCs/>
          <w:sz w:val="32"/>
          <w:szCs w:val="32"/>
          <w:u w:val="single"/>
        </w:rPr>
        <w:t xml:space="preserve">                    </w:t>
      </w:r>
      <w:r>
        <w:rPr>
          <w:rFonts w:hint="eastAsia" w:ascii="仿宋_GB2312" w:hAnsi="宋体" w:eastAsia="仿宋_GB2312"/>
          <w:bCs/>
          <w:sz w:val="32"/>
          <w:szCs w:val="32"/>
        </w:rPr>
        <w:t>（章）</w:t>
      </w:r>
    </w:p>
    <w:p>
      <w:pPr>
        <w:jc w:val="center"/>
        <w:rPr>
          <w:rFonts w:hint="eastAsia" w:ascii="仿宋_GB2312" w:eastAsia="仿宋_GB2312"/>
          <w:b/>
          <w:sz w:val="36"/>
          <w:szCs w:val="36"/>
        </w:rPr>
      </w:pPr>
      <w:r>
        <w:rPr>
          <w:rFonts w:hint="eastAsia" w:ascii="仿宋_GB2312" w:hAnsi="宋体" w:eastAsia="仿宋_GB2312"/>
          <w:b/>
          <w:sz w:val="44"/>
          <w:szCs w:val="44"/>
        </w:rPr>
        <w:t>说   明</w:t>
      </w:r>
    </w:p>
    <w:p>
      <w:pPr>
        <w:rPr>
          <w:rFonts w:hint="eastAsia" w:ascii="宋体"/>
          <w:bCs/>
          <w:sz w:val="32"/>
          <w:szCs w:val="32"/>
        </w:rPr>
      </w:pPr>
    </w:p>
    <w:p>
      <w:pPr>
        <w:rPr>
          <w:rFonts w:hint="eastAsia" w:ascii="仿宋_GB2312" w:eastAsia="仿宋_GB2312"/>
          <w:bCs/>
          <w:sz w:val="32"/>
          <w:szCs w:val="32"/>
        </w:rPr>
      </w:pPr>
      <w:r>
        <w:rPr>
          <w:rFonts w:hint="eastAsia" w:ascii="宋体" w:hAnsi="宋体"/>
          <w:bCs/>
          <w:sz w:val="32"/>
          <w:szCs w:val="32"/>
        </w:rPr>
        <w:t xml:space="preserve">   </w:t>
      </w:r>
      <w:r>
        <w:rPr>
          <w:rFonts w:hint="eastAsia" w:ascii="仿宋_GB2312" w:hAnsi="宋体" w:eastAsia="仿宋_GB2312"/>
          <w:bCs/>
          <w:sz w:val="32"/>
          <w:szCs w:val="32"/>
        </w:rPr>
        <w:t>一、本表由申报</w:t>
      </w:r>
      <w:r>
        <w:rPr>
          <w:rFonts w:hint="eastAsia" w:ascii="仿宋_GB2312" w:hAnsi="宋体" w:eastAsia="仿宋_GB2312" w:cs="宋体"/>
          <w:bCs/>
          <w:sz w:val="32"/>
          <w:szCs w:val="32"/>
          <w:lang w:eastAsia="zh-CN"/>
        </w:rPr>
        <w:t>内蒙古自治区</w:t>
      </w:r>
      <w:r>
        <w:rPr>
          <w:rFonts w:hint="eastAsia" w:ascii="仿宋_GB2312" w:hAnsi="宋体" w:eastAsia="仿宋_GB2312" w:cs="宋体"/>
          <w:bCs/>
          <w:color w:val="000000"/>
          <w:sz w:val="32"/>
          <w:szCs w:val="32"/>
        </w:rPr>
        <w:t>物业管理项目</w:t>
      </w:r>
      <w:r>
        <w:rPr>
          <w:rFonts w:hint="eastAsia" w:ascii="仿宋_GB2312" w:hAnsi="宋体" w:eastAsia="仿宋_GB2312" w:cs="宋体"/>
          <w:bCs/>
          <w:color w:val="000000"/>
          <w:sz w:val="32"/>
          <w:szCs w:val="32"/>
          <w:lang w:eastAsia="zh-CN"/>
        </w:rPr>
        <w:t>创优达标评价</w:t>
      </w:r>
      <w:r>
        <w:rPr>
          <w:rFonts w:hint="eastAsia" w:ascii="仿宋_GB2312" w:hAnsi="宋体" w:eastAsia="仿宋_GB2312"/>
          <w:bCs/>
          <w:sz w:val="32"/>
          <w:szCs w:val="32"/>
        </w:rPr>
        <w:t>的</w:t>
      </w:r>
      <w:r>
        <w:rPr>
          <w:rFonts w:hint="eastAsia" w:ascii="仿宋_GB2312" w:hAnsi="宋体" w:eastAsia="仿宋_GB2312"/>
          <w:bCs/>
          <w:sz w:val="32"/>
          <w:szCs w:val="32"/>
          <w:lang w:eastAsia="zh-CN"/>
        </w:rPr>
        <w:t>物业</w:t>
      </w:r>
      <w:r>
        <w:rPr>
          <w:rFonts w:hint="eastAsia" w:ascii="仿宋_GB2312" w:hAnsi="宋体" w:eastAsia="仿宋_GB2312"/>
          <w:bCs/>
          <w:sz w:val="32"/>
          <w:szCs w:val="32"/>
        </w:rPr>
        <w:t>服务企业及</w:t>
      </w:r>
      <w:r>
        <w:rPr>
          <w:rFonts w:hint="eastAsia" w:ascii="仿宋_GB2312" w:hAnsi="宋体" w:eastAsia="仿宋_GB2312"/>
          <w:bCs/>
          <w:sz w:val="32"/>
          <w:szCs w:val="32"/>
          <w:lang w:eastAsia="zh-CN"/>
        </w:rPr>
        <w:t>盟市预评预验和承办单位</w:t>
      </w:r>
      <w:r>
        <w:rPr>
          <w:rFonts w:hint="eastAsia" w:ascii="仿宋_GB2312" w:hAnsi="宋体" w:eastAsia="仿宋_GB2312"/>
          <w:bCs/>
          <w:sz w:val="32"/>
          <w:szCs w:val="32"/>
        </w:rPr>
        <w:t>填写。</w:t>
      </w:r>
    </w:p>
    <w:p>
      <w:pPr>
        <w:ind w:firstLine="640" w:firstLineChars="200"/>
        <w:rPr>
          <w:rFonts w:hint="eastAsia" w:ascii="仿宋_GB2312" w:eastAsia="仿宋_GB2312"/>
          <w:sz w:val="32"/>
          <w:szCs w:val="32"/>
          <w:lang w:eastAsia="zh-CN"/>
        </w:rPr>
      </w:pPr>
      <w:r>
        <w:rPr>
          <w:rFonts w:hint="eastAsia" w:ascii="仿宋_GB2312" w:hAnsi="宋体" w:eastAsia="仿宋_GB2312"/>
          <w:bCs/>
          <w:sz w:val="32"/>
          <w:szCs w:val="32"/>
          <w:lang w:eastAsia="zh-CN"/>
        </w:rPr>
        <w:t>二、申报类型、业主委员会情况及有无不良信用记录请在</w:t>
      </w:r>
      <w:r>
        <w:rPr>
          <w:rFonts w:hint="eastAsia" w:ascii="仿宋_GB2312" w:eastAsia="仿宋_GB2312"/>
          <w:sz w:val="32"/>
          <w:szCs w:val="32"/>
        </w:rPr>
        <w:t>□内“√”选择</w:t>
      </w:r>
      <w:r>
        <w:rPr>
          <w:rFonts w:hint="eastAsia" w:ascii="仿宋_GB2312" w:eastAsia="仿宋_GB2312"/>
          <w:sz w:val="32"/>
          <w:szCs w:val="32"/>
          <w:lang w:eastAsia="zh-CN"/>
        </w:rPr>
        <w:t>。</w:t>
      </w:r>
    </w:p>
    <w:p>
      <w:pPr>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三、信用等级是指由行业行政主管部门或行业协会评定的信用等级，行业内未评定信用等级的企业请登录“信用内蒙古”网站输入企业名称或统一社会信用代码查询有无不良记录。</w:t>
      </w:r>
    </w:p>
    <w:p>
      <w:pPr>
        <w:ind w:firstLine="640" w:firstLineChars="200"/>
        <w:rPr>
          <w:rFonts w:hint="eastAsia" w:ascii="仿宋_GB2312" w:eastAsia="仿宋_GB2312"/>
          <w:bCs/>
          <w:sz w:val="32"/>
          <w:szCs w:val="32"/>
        </w:rPr>
      </w:pPr>
      <w:r>
        <w:rPr>
          <w:rFonts w:hint="eastAsia" w:ascii="仿宋_GB2312" w:hAnsi="宋体" w:eastAsia="仿宋_GB2312"/>
          <w:bCs/>
          <w:sz w:val="32"/>
          <w:szCs w:val="32"/>
          <w:lang w:eastAsia="zh-CN"/>
        </w:rPr>
        <w:t>四</w:t>
      </w:r>
      <w:r>
        <w:rPr>
          <w:rFonts w:hint="eastAsia" w:ascii="仿宋_GB2312" w:hAnsi="宋体" w:eastAsia="仿宋_GB2312"/>
          <w:bCs/>
          <w:sz w:val="32"/>
          <w:szCs w:val="32"/>
        </w:rPr>
        <w:t>、表格内不敷填写，可另加附页。</w:t>
      </w:r>
    </w:p>
    <w:p>
      <w:pPr>
        <w:ind w:firstLine="640" w:firstLineChars="200"/>
        <w:rPr>
          <w:rFonts w:hint="eastAsia" w:ascii="仿宋_GB2312" w:eastAsia="仿宋_GB2312"/>
          <w:bCs/>
          <w:sz w:val="32"/>
          <w:szCs w:val="32"/>
        </w:rPr>
      </w:pPr>
      <w:r>
        <w:rPr>
          <w:rFonts w:hint="eastAsia" w:ascii="仿宋_GB2312" w:hAnsi="宋体" w:eastAsia="仿宋_GB2312"/>
          <w:bCs/>
          <w:sz w:val="32"/>
          <w:szCs w:val="32"/>
          <w:lang w:eastAsia="zh-CN"/>
        </w:rPr>
        <w:t>五</w:t>
      </w:r>
      <w:r>
        <w:rPr>
          <w:rFonts w:hint="eastAsia" w:ascii="仿宋_GB2312" w:hAnsi="宋体" w:eastAsia="仿宋_GB2312"/>
          <w:bCs/>
          <w:sz w:val="32"/>
          <w:szCs w:val="32"/>
        </w:rPr>
        <w:t>、如实填写，切勿作假。</w:t>
      </w:r>
    </w:p>
    <w:p>
      <w:pPr>
        <w:rPr>
          <w:rFonts w:hint="eastAsia" w:ascii="宋体"/>
          <w:b/>
          <w:sz w:val="32"/>
          <w:szCs w:val="32"/>
        </w:rPr>
      </w:pPr>
    </w:p>
    <w:p>
      <w:pPr>
        <w:rPr>
          <w:rFonts w:hint="eastAsia" w:ascii="宋体"/>
          <w:b/>
          <w:sz w:val="32"/>
          <w:szCs w:val="32"/>
        </w:rPr>
      </w:pPr>
    </w:p>
    <w:p>
      <w:pPr>
        <w:rPr>
          <w:rFonts w:hint="eastAsia" w:ascii="宋体"/>
          <w:b/>
          <w:sz w:val="32"/>
          <w:szCs w:val="32"/>
        </w:rPr>
      </w:pPr>
    </w:p>
    <w:p>
      <w:pPr>
        <w:rPr>
          <w:rFonts w:hint="eastAsia" w:ascii="宋体"/>
          <w:b/>
          <w:sz w:val="32"/>
          <w:szCs w:val="32"/>
        </w:rPr>
      </w:pPr>
    </w:p>
    <w:p>
      <w:pPr>
        <w:rPr>
          <w:rFonts w:hint="eastAsia" w:ascii="宋体"/>
          <w:b/>
          <w:sz w:val="32"/>
          <w:szCs w:val="32"/>
        </w:rPr>
      </w:pPr>
    </w:p>
    <w:p>
      <w:pPr>
        <w:rPr>
          <w:rFonts w:hint="eastAsia" w:ascii="宋体"/>
          <w:b/>
          <w:sz w:val="32"/>
          <w:szCs w:val="32"/>
        </w:rPr>
      </w:pPr>
    </w:p>
    <w:p>
      <w:pPr>
        <w:rPr>
          <w:rFonts w:hint="eastAsia" w:ascii="宋体"/>
          <w:b/>
          <w:sz w:val="32"/>
          <w:szCs w:val="32"/>
        </w:rPr>
      </w:pPr>
    </w:p>
    <w:p>
      <w:pPr>
        <w:rPr>
          <w:rFonts w:hint="eastAsia" w:ascii="宋体"/>
          <w:b/>
          <w:sz w:val="32"/>
          <w:szCs w:val="32"/>
        </w:rPr>
      </w:pPr>
    </w:p>
    <w:p>
      <w:pPr>
        <w:rPr>
          <w:rFonts w:hint="default" w:ascii="仿宋" w:hAnsi="仿宋" w:eastAsia="仿宋" w:cs="仿宋"/>
          <w:sz w:val="32"/>
          <w:szCs w:val="32"/>
          <w:lang w:val="en-US" w:eastAsia="zh-CN"/>
        </w:rPr>
      </w:pPr>
    </w:p>
    <w:p>
      <w:pPr>
        <w:rPr>
          <w:rFonts w:hint="default" w:ascii="仿宋" w:hAnsi="仿宋" w:eastAsia="仿宋" w:cs="仿宋"/>
          <w:sz w:val="32"/>
          <w:szCs w:val="32"/>
          <w:lang w:val="en-US" w:eastAsia="zh-CN"/>
        </w:rPr>
      </w:pP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243"/>
        <w:gridCol w:w="2018"/>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213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项目名称</w:t>
            </w:r>
          </w:p>
        </w:tc>
        <w:tc>
          <w:tcPr>
            <w:tcW w:w="6392"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bCs/>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213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项目地址</w:t>
            </w:r>
          </w:p>
        </w:tc>
        <w:tc>
          <w:tcPr>
            <w:tcW w:w="6392"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bCs/>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213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项目负责人</w:t>
            </w:r>
          </w:p>
        </w:tc>
        <w:tc>
          <w:tcPr>
            <w:tcW w:w="224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eastAsia="zh-CN"/>
              </w:rPr>
            </w:pPr>
          </w:p>
        </w:tc>
        <w:tc>
          <w:tcPr>
            <w:tcW w:w="201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联系电话</w:t>
            </w:r>
          </w:p>
        </w:tc>
        <w:tc>
          <w:tcPr>
            <w:tcW w:w="213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bCs/>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213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业主委员会情况</w:t>
            </w:r>
          </w:p>
        </w:tc>
        <w:tc>
          <w:tcPr>
            <w:tcW w:w="224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已成立</w:t>
            </w:r>
            <w:r>
              <w:rPr>
                <w:rFonts w:hint="eastAsia" w:ascii="仿宋" w:hAnsi="仿宋" w:eastAsia="仿宋" w:cs="仿宋"/>
                <w:b w:val="0"/>
                <w:bCs w:val="0"/>
                <w:sz w:val="24"/>
                <w:szCs w:val="24"/>
                <w:vertAlign w:val="baseline"/>
                <w:lang w:eastAsia="zh-CN"/>
              </w:rPr>
              <w:sym w:font="Wingdings" w:char="00A8"/>
            </w:r>
            <w:r>
              <w:rPr>
                <w:rFonts w:hint="eastAsia" w:ascii="仿宋" w:hAnsi="仿宋" w:eastAsia="仿宋" w:cs="仿宋"/>
                <w:b w:val="0"/>
                <w:bCs w:val="0"/>
                <w:sz w:val="24"/>
                <w:szCs w:val="24"/>
                <w:vertAlign w:val="baseline"/>
                <w:lang w:val="en-US" w:eastAsia="zh-CN"/>
              </w:rPr>
              <w:t xml:space="preserve"> </w:t>
            </w:r>
            <w:r>
              <w:rPr>
                <w:rFonts w:hint="eastAsia" w:ascii="仿宋" w:hAnsi="仿宋" w:eastAsia="仿宋" w:cs="仿宋"/>
                <w:b w:val="0"/>
                <w:bCs w:val="0"/>
                <w:sz w:val="24"/>
                <w:szCs w:val="24"/>
                <w:vertAlign w:val="baseline"/>
                <w:lang w:eastAsia="zh-CN"/>
              </w:rPr>
              <w:t>未成立</w:t>
            </w:r>
            <w:r>
              <w:rPr>
                <w:rFonts w:hint="eastAsia" w:ascii="仿宋" w:hAnsi="仿宋" w:eastAsia="仿宋" w:cs="仿宋"/>
                <w:b w:val="0"/>
                <w:bCs w:val="0"/>
                <w:sz w:val="24"/>
                <w:szCs w:val="24"/>
                <w:vertAlign w:val="baseline"/>
                <w:lang w:eastAsia="zh-CN"/>
              </w:rPr>
              <w:sym w:font="Wingdings" w:char="00A8"/>
            </w:r>
          </w:p>
        </w:tc>
        <w:tc>
          <w:tcPr>
            <w:tcW w:w="201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建筑面积（平米）</w:t>
            </w:r>
          </w:p>
        </w:tc>
        <w:tc>
          <w:tcPr>
            <w:tcW w:w="213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bCs/>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213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服企企业名称</w:t>
            </w:r>
          </w:p>
        </w:tc>
        <w:tc>
          <w:tcPr>
            <w:tcW w:w="6392"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bCs/>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213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统一社会</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信用代码</w:t>
            </w:r>
          </w:p>
        </w:tc>
        <w:tc>
          <w:tcPr>
            <w:tcW w:w="224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eastAsia="zh-CN"/>
              </w:rPr>
            </w:pPr>
          </w:p>
        </w:tc>
        <w:tc>
          <w:tcPr>
            <w:tcW w:w="201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企业信用</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等级（情况）</w:t>
            </w:r>
          </w:p>
        </w:tc>
        <w:tc>
          <w:tcPr>
            <w:tcW w:w="213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b w:val="0"/>
                <w:bCs w:val="0"/>
                <w:sz w:val="18"/>
                <w:szCs w:val="18"/>
                <w:vertAlign w:val="baseline"/>
                <w:lang w:eastAsia="zh-CN"/>
              </w:rPr>
            </w:pPr>
            <w:r>
              <w:rPr>
                <w:rFonts w:hint="eastAsia" w:ascii="仿宋" w:hAnsi="仿宋" w:eastAsia="仿宋" w:cs="仿宋"/>
                <w:b w:val="0"/>
                <w:bCs w:val="0"/>
                <w:sz w:val="18"/>
                <w:szCs w:val="18"/>
                <w:vertAlign w:val="baseline"/>
                <w:lang w:eastAsia="zh-CN"/>
              </w:rPr>
              <w:t>信用等级：</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b w:val="0"/>
                <w:bCs w:val="0"/>
                <w:sz w:val="18"/>
                <w:szCs w:val="18"/>
                <w:vertAlign w:val="baseline"/>
                <w:lang w:eastAsia="zh-CN"/>
              </w:rPr>
            </w:pPr>
            <w:r>
              <w:rPr>
                <w:rFonts w:hint="eastAsia" w:ascii="仿宋" w:hAnsi="仿宋" w:eastAsia="仿宋" w:cs="仿宋"/>
                <w:b w:val="0"/>
                <w:bCs w:val="0"/>
                <w:sz w:val="18"/>
                <w:szCs w:val="18"/>
                <w:vertAlign w:val="baseline"/>
                <w:lang w:eastAsia="zh-CN"/>
              </w:rPr>
              <w:t>无不良记录</w:t>
            </w:r>
            <w:r>
              <w:rPr>
                <w:rFonts w:hint="eastAsia" w:ascii="仿宋" w:hAnsi="仿宋" w:eastAsia="仿宋" w:cs="仿宋"/>
                <w:b w:val="0"/>
                <w:bCs w:val="0"/>
                <w:sz w:val="18"/>
                <w:szCs w:val="18"/>
                <w:vertAlign w:val="baseline"/>
                <w:lang w:eastAsia="zh-CN"/>
              </w:rPr>
              <w:sym w:font="Wingdings" w:char="00A8"/>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b/>
                <w:bCs/>
                <w:sz w:val="18"/>
                <w:szCs w:val="18"/>
                <w:vertAlign w:val="baseline"/>
                <w:lang w:eastAsia="zh-CN"/>
              </w:rPr>
            </w:pPr>
            <w:r>
              <w:rPr>
                <w:rFonts w:hint="eastAsia" w:ascii="仿宋" w:hAnsi="仿宋" w:eastAsia="仿宋" w:cs="仿宋"/>
                <w:b w:val="0"/>
                <w:bCs w:val="0"/>
                <w:sz w:val="18"/>
                <w:szCs w:val="18"/>
                <w:vertAlign w:val="baseline"/>
                <w:lang w:eastAsia="zh-CN"/>
              </w:rPr>
              <w:t>有不良记录</w:t>
            </w:r>
            <w:r>
              <w:rPr>
                <w:rFonts w:hint="eastAsia" w:ascii="仿宋" w:hAnsi="仿宋" w:eastAsia="仿宋" w:cs="仿宋"/>
                <w:b w:val="0"/>
                <w:bCs w:val="0"/>
                <w:sz w:val="18"/>
                <w:szCs w:val="18"/>
                <w:vertAlign w:val="baseline"/>
                <w:lang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213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企业负责人</w:t>
            </w:r>
          </w:p>
        </w:tc>
        <w:tc>
          <w:tcPr>
            <w:tcW w:w="224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eastAsia="zh-CN"/>
              </w:rPr>
            </w:pPr>
          </w:p>
        </w:tc>
        <w:tc>
          <w:tcPr>
            <w:tcW w:w="201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联系电话</w:t>
            </w:r>
          </w:p>
        </w:tc>
        <w:tc>
          <w:tcPr>
            <w:tcW w:w="213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bCs/>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3" w:hRule="atLeast"/>
        </w:trPr>
        <w:tc>
          <w:tcPr>
            <w:tcW w:w="8522" w:type="dxa"/>
            <w:gridSpan w:val="4"/>
            <w:vAlign w:val="top"/>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物业服务单位自评概述：</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b w:val="0"/>
                <w:bCs w:val="0"/>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b w:val="0"/>
                <w:bCs w:val="0"/>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b w:val="0"/>
                <w:bCs w:val="0"/>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b w:val="0"/>
                <w:bCs w:val="0"/>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b w:val="0"/>
                <w:bCs w:val="0"/>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b w:val="0"/>
                <w:bCs w:val="0"/>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b w:val="0"/>
                <w:bCs w:val="0"/>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b w:val="0"/>
                <w:bCs w:val="0"/>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b w:val="0"/>
                <w:bCs w:val="0"/>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b w:val="0"/>
                <w:bCs w:val="0"/>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b w:val="0"/>
                <w:bCs w:val="0"/>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b w:val="0"/>
                <w:bCs w:val="0"/>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b w:val="0"/>
                <w:bCs w:val="0"/>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b w:val="0"/>
                <w:bCs w:val="0"/>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b w:val="0"/>
                <w:bCs w:val="0"/>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b w:val="0"/>
                <w:bCs w:val="0"/>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b w:val="0"/>
                <w:bCs w:val="0"/>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b w:val="0"/>
                <w:bCs w:val="0"/>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5280" w:firstLineChars="2200"/>
              <w:jc w:val="both"/>
              <w:textAlignment w:val="auto"/>
              <w:rPr>
                <w:rFonts w:hint="eastAsia" w:ascii="仿宋" w:hAnsi="仿宋" w:eastAsia="仿宋" w:cs="仿宋"/>
                <w:b w:val="0"/>
                <w:bCs w:val="0"/>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6240" w:firstLineChars="2600"/>
              <w:jc w:val="both"/>
              <w:textAlignment w:val="auto"/>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13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预评预验总分</w:t>
            </w:r>
          </w:p>
        </w:tc>
        <w:tc>
          <w:tcPr>
            <w:tcW w:w="6392"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3" w:hRule="atLeast"/>
        </w:trPr>
        <w:tc>
          <w:tcPr>
            <w:tcW w:w="213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盟市预评预验、复验承办单位意见</w:t>
            </w:r>
          </w:p>
        </w:tc>
        <w:tc>
          <w:tcPr>
            <w:tcW w:w="6392"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val="en-US" w:eastAsia="zh-CN"/>
              </w:rPr>
              <w:t xml:space="preserve">                            </w:t>
            </w:r>
            <w:r>
              <w:rPr>
                <w:rFonts w:hint="eastAsia" w:ascii="仿宋" w:hAnsi="仿宋" w:eastAsia="仿宋" w:cs="仿宋"/>
                <w:b w:val="0"/>
                <w:bCs w:val="0"/>
                <w:sz w:val="24"/>
                <w:szCs w:val="24"/>
                <w:vertAlign w:val="baseline"/>
                <w:lang w:eastAsia="zh-CN"/>
              </w:rPr>
              <w:t>签</w:t>
            </w:r>
            <w:r>
              <w:rPr>
                <w:rFonts w:hint="eastAsia" w:ascii="仿宋" w:hAnsi="仿宋" w:eastAsia="仿宋" w:cs="仿宋"/>
                <w:b w:val="0"/>
                <w:bCs w:val="0"/>
                <w:sz w:val="24"/>
                <w:szCs w:val="24"/>
                <w:vertAlign w:val="baseline"/>
                <w:lang w:val="en-US" w:eastAsia="zh-CN"/>
              </w:rPr>
              <w:t xml:space="preserve">  </w:t>
            </w:r>
            <w:r>
              <w:rPr>
                <w:rFonts w:hint="eastAsia" w:ascii="仿宋" w:hAnsi="仿宋" w:eastAsia="仿宋" w:cs="仿宋"/>
                <w:b w:val="0"/>
                <w:bCs w:val="0"/>
                <w:sz w:val="24"/>
                <w:szCs w:val="24"/>
                <w:vertAlign w:val="baseline"/>
                <w:lang w:eastAsia="zh-CN"/>
              </w:rPr>
              <w:t>章</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val="en-US" w:eastAsia="zh-CN"/>
              </w:rPr>
              <w:t xml:space="preserve">                            </w:t>
            </w:r>
            <w:r>
              <w:rPr>
                <w:rFonts w:hint="eastAsia" w:ascii="仿宋" w:hAnsi="仿宋" w:eastAsia="仿宋" w:cs="仿宋"/>
                <w:b w:val="0"/>
                <w:bCs w:val="0"/>
                <w:sz w:val="24"/>
                <w:szCs w:val="24"/>
                <w:vertAlign w:val="baseline"/>
                <w:lang w:eastAsia="zh-CN"/>
              </w:rPr>
              <w:t>年</w:t>
            </w:r>
            <w:r>
              <w:rPr>
                <w:rFonts w:hint="eastAsia" w:ascii="仿宋" w:hAnsi="仿宋" w:eastAsia="仿宋" w:cs="仿宋"/>
                <w:b w:val="0"/>
                <w:bCs w:val="0"/>
                <w:sz w:val="24"/>
                <w:szCs w:val="24"/>
                <w:vertAlign w:val="baseline"/>
                <w:lang w:val="en-US" w:eastAsia="zh-CN"/>
              </w:rPr>
              <w:t xml:space="preserve">  </w:t>
            </w:r>
            <w:r>
              <w:rPr>
                <w:rFonts w:hint="eastAsia" w:ascii="仿宋" w:hAnsi="仿宋" w:eastAsia="仿宋" w:cs="仿宋"/>
                <w:b w:val="0"/>
                <w:bCs w:val="0"/>
                <w:sz w:val="24"/>
                <w:szCs w:val="24"/>
                <w:vertAlign w:val="baseline"/>
                <w:lang w:eastAsia="zh-CN"/>
              </w:rPr>
              <w:t>月</w:t>
            </w:r>
            <w:r>
              <w:rPr>
                <w:rFonts w:hint="eastAsia" w:ascii="仿宋" w:hAnsi="仿宋" w:eastAsia="仿宋" w:cs="仿宋"/>
                <w:b w:val="0"/>
                <w:bCs w:val="0"/>
                <w:sz w:val="24"/>
                <w:szCs w:val="24"/>
                <w:vertAlign w:val="baseline"/>
                <w:lang w:val="en-US" w:eastAsia="zh-CN"/>
              </w:rPr>
              <w:t xml:space="preserve">  </w:t>
            </w:r>
            <w:r>
              <w:rPr>
                <w:rFonts w:hint="eastAsia" w:ascii="仿宋" w:hAnsi="仿宋" w:eastAsia="仿宋" w:cs="仿宋"/>
                <w:b w:val="0"/>
                <w:bCs w:val="0"/>
                <w:sz w:val="24"/>
                <w:szCs w:val="24"/>
                <w:vertAlign w:val="baseline"/>
                <w:lang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213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核验评价总分</w:t>
            </w:r>
          </w:p>
        </w:tc>
        <w:tc>
          <w:tcPr>
            <w:tcW w:w="6392"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2" w:hRule="atLeast"/>
        </w:trPr>
        <w:tc>
          <w:tcPr>
            <w:tcW w:w="213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自治区物业协会核验评价意见</w:t>
            </w:r>
          </w:p>
        </w:tc>
        <w:tc>
          <w:tcPr>
            <w:tcW w:w="6392"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4320" w:firstLineChars="1800"/>
              <w:jc w:val="both"/>
              <w:textAlignment w:val="auto"/>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val="en-US" w:eastAsia="zh-CN"/>
              </w:rPr>
              <w:t xml:space="preserve"> </w:t>
            </w:r>
            <w:r>
              <w:rPr>
                <w:rFonts w:hint="eastAsia" w:ascii="仿宋" w:hAnsi="仿宋" w:eastAsia="仿宋" w:cs="仿宋"/>
                <w:b w:val="0"/>
                <w:bCs w:val="0"/>
                <w:sz w:val="24"/>
                <w:szCs w:val="24"/>
                <w:vertAlign w:val="baseline"/>
                <w:lang w:eastAsia="zh-CN"/>
              </w:rPr>
              <w:t>签</w:t>
            </w:r>
            <w:r>
              <w:rPr>
                <w:rFonts w:hint="eastAsia" w:ascii="仿宋" w:hAnsi="仿宋" w:eastAsia="仿宋" w:cs="仿宋"/>
                <w:b w:val="0"/>
                <w:bCs w:val="0"/>
                <w:sz w:val="24"/>
                <w:szCs w:val="24"/>
                <w:vertAlign w:val="baseline"/>
                <w:lang w:val="en-US" w:eastAsia="zh-CN"/>
              </w:rPr>
              <w:t xml:space="preserve">  </w:t>
            </w:r>
            <w:r>
              <w:rPr>
                <w:rFonts w:hint="eastAsia" w:ascii="仿宋" w:hAnsi="仿宋" w:eastAsia="仿宋" w:cs="仿宋"/>
                <w:b w:val="0"/>
                <w:bCs w:val="0"/>
                <w:sz w:val="24"/>
                <w:szCs w:val="24"/>
                <w:vertAlign w:val="baseline"/>
                <w:lang w:eastAsia="zh-CN"/>
              </w:rPr>
              <w:t>章</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val="en-US" w:eastAsia="zh-CN"/>
              </w:rPr>
              <w:t xml:space="preserve">                            </w:t>
            </w:r>
            <w:r>
              <w:rPr>
                <w:rFonts w:hint="eastAsia" w:ascii="仿宋" w:hAnsi="仿宋" w:eastAsia="仿宋" w:cs="仿宋"/>
                <w:b w:val="0"/>
                <w:bCs w:val="0"/>
                <w:sz w:val="24"/>
                <w:szCs w:val="24"/>
                <w:vertAlign w:val="baseline"/>
                <w:lang w:eastAsia="zh-CN"/>
              </w:rPr>
              <w:t>年</w:t>
            </w:r>
            <w:r>
              <w:rPr>
                <w:rFonts w:hint="eastAsia" w:ascii="仿宋" w:hAnsi="仿宋" w:eastAsia="仿宋" w:cs="仿宋"/>
                <w:b w:val="0"/>
                <w:bCs w:val="0"/>
                <w:sz w:val="24"/>
                <w:szCs w:val="24"/>
                <w:vertAlign w:val="baseline"/>
                <w:lang w:val="en-US" w:eastAsia="zh-CN"/>
              </w:rPr>
              <w:t xml:space="preserve">  </w:t>
            </w:r>
            <w:r>
              <w:rPr>
                <w:rFonts w:hint="eastAsia" w:ascii="仿宋" w:hAnsi="仿宋" w:eastAsia="仿宋" w:cs="仿宋"/>
                <w:b w:val="0"/>
                <w:bCs w:val="0"/>
                <w:sz w:val="24"/>
                <w:szCs w:val="24"/>
                <w:vertAlign w:val="baseline"/>
                <w:lang w:eastAsia="zh-CN"/>
              </w:rPr>
              <w:t>月</w:t>
            </w:r>
            <w:r>
              <w:rPr>
                <w:rFonts w:hint="eastAsia" w:ascii="仿宋" w:hAnsi="仿宋" w:eastAsia="仿宋" w:cs="仿宋"/>
                <w:b w:val="0"/>
                <w:bCs w:val="0"/>
                <w:sz w:val="24"/>
                <w:szCs w:val="24"/>
                <w:vertAlign w:val="baseline"/>
                <w:lang w:val="en-US" w:eastAsia="zh-CN"/>
              </w:rPr>
              <w:t xml:space="preserve">  </w:t>
            </w:r>
            <w:r>
              <w:rPr>
                <w:rFonts w:hint="eastAsia" w:ascii="仿宋" w:hAnsi="仿宋" w:eastAsia="仿宋" w:cs="仿宋"/>
                <w:b w:val="0"/>
                <w:bCs w:val="0"/>
                <w:sz w:val="24"/>
                <w:szCs w:val="24"/>
                <w:vertAlign w:val="baseline"/>
                <w:lang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2" w:hRule="atLeast"/>
        </w:trPr>
        <w:tc>
          <w:tcPr>
            <w:tcW w:w="213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备注</w:t>
            </w:r>
          </w:p>
        </w:tc>
        <w:tc>
          <w:tcPr>
            <w:tcW w:w="6392" w:type="dxa"/>
            <w:gridSpan w:val="3"/>
            <w:vAlign w:val="top"/>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专家签字：</w:t>
            </w:r>
          </w:p>
        </w:tc>
      </w:tr>
    </w:tbl>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bCs/>
          <w:sz w:val="32"/>
          <w:szCs w:val="32"/>
          <w:lang w:eastAsia="zh-CN"/>
        </w:rPr>
      </w:pPr>
      <w:r>
        <w:rPr>
          <w:rFonts w:hint="eastAsia" w:asciiTheme="minorEastAsia" w:hAnsiTheme="minorEastAsia" w:eastAsiaTheme="minorEastAsia" w:cstheme="minorEastAsia"/>
          <w:b/>
          <w:bCs/>
          <w:sz w:val="32"/>
          <w:szCs w:val="32"/>
          <w:lang w:eastAsia="zh-CN"/>
        </w:rPr>
        <w:t>内蒙古自治区物业管理项目创优</w:t>
      </w:r>
      <w:r>
        <w:rPr>
          <w:rFonts w:hint="eastAsia" w:asciiTheme="minorEastAsia" w:hAnsiTheme="minorEastAsia" w:cstheme="minorEastAsia"/>
          <w:b/>
          <w:bCs/>
          <w:sz w:val="32"/>
          <w:szCs w:val="32"/>
          <w:lang w:eastAsia="zh-CN"/>
        </w:rPr>
        <w:t>达标</w:t>
      </w:r>
      <w:r>
        <w:rPr>
          <w:rFonts w:hint="eastAsia" w:asciiTheme="minorEastAsia" w:hAnsiTheme="minorEastAsia" w:eastAsiaTheme="minorEastAsia" w:cstheme="minorEastAsia"/>
          <w:b/>
          <w:bCs/>
          <w:sz w:val="32"/>
          <w:szCs w:val="32"/>
          <w:lang w:eastAsia="zh-CN"/>
        </w:rPr>
        <w:t>评价标准</w:t>
      </w:r>
      <w:r>
        <w:rPr>
          <w:rFonts w:hint="eastAsia" w:asciiTheme="minorEastAsia" w:hAnsiTheme="minorEastAsia" w:cstheme="minorEastAsia"/>
          <w:b/>
          <w:bCs/>
          <w:sz w:val="32"/>
          <w:szCs w:val="32"/>
          <w:lang w:eastAsia="zh-CN"/>
        </w:rPr>
        <w:t>（暂行）</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bCs/>
          <w:sz w:val="32"/>
          <w:szCs w:val="32"/>
          <w:lang w:eastAsia="zh-CN"/>
        </w:rPr>
      </w:pPr>
      <w:r>
        <w:rPr>
          <w:rFonts w:hint="eastAsia" w:asciiTheme="minorEastAsia" w:hAnsiTheme="minorEastAsia" w:eastAsiaTheme="minorEastAsia" w:cstheme="minorEastAsia"/>
          <w:b/>
          <w:bCs/>
          <w:sz w:val="32"/>
          <w:szCs w:val="32"/>
          <w:lang w:eastAsia="zh-CN"/>
        </w:rPr>
        <w:t>（</w:t>
      </w:r>
      <w:r>
        <w:rPr>
          <w:rFonts w:hint="eastAsia" w:asciiTheme="minorEastAsia" w:hAnsiTheme="minorEastAsia" w:cstheme="minorEastAsia"/>
          <w:b/>
          <w:bCs/>
          <w:sz w:val="32"/>
          <w:szCs w:val="32"/>
          <w:lang w:eastAsia="zh-CN"/>
        </w:rPr>
        <w:t>非</w:t>
      </w:r>
      <w:r>
        <w:rPr>
          <w:rFonts w:hint="eastAsia" w:asciiTheme="minorEastAsia" w:hAnsiTheme="minorEastAsia" w:eastAsiaTheme="minorEastAsia" w:cstheme="minorEastAsia"/>
          <w:b/>
          <w:bCs/>
          <w:sz w:val="32"/>
          <w:szCs w:val="32"/>
          <w:lang w:eastAsia="zh-CN"/>
        </w:rPr>
        <w:t>居住物业）</w:t>
      </w:r>
    </w:p>
    <w:p>
      <w:pPr>
        <w:rPr>
          <w:rFonts w:hint="eastAsia"/>
          <w:lang w:eastAsia="zh-CN"/>
        </w:rPr>
      </w:pP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0"/>
        <w:gridCol w:w="4211"/>
        <w:gridCol w:w="653"/>
        <w:gridCol w:w="879"/>
        <w:gridCol w:w="868"/>
        <w:gridCol w:w="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trPr>
        <w:tc>
          <w:tcPr>
            <w:tcW w:w="1020" w:type="dxa"/>
            <w:vAlign w:val="center"/>
          </w:tcPr>
          <w:p>
            <w:pPr>
              <w:jc w:val="center"/>
              <w:rPr>
                <w:rFonts w:hint="eastAsia" w:ascii="仿宋" w:hAnsi="仿宋" w:eastAsia="仿宋" w:cs="仿宋"/>
                <w:b/>
                <w:bCs/>
                <w:vertAlign w:val="baseline"/>
                <w:lang w:eastAsia="zh-CN"/>
              </w:rPr>
            </w:pPr>
            <w:r>
              <w:rPr>
                <w:rFonts w:hint="eastAsia" w:ascii="仿宋" w:hAnsi="仿宋" w:eastAsia="仿宋" w:cs="仿宋"/>
                <w:b/>
                <w:bCs/>
                <w:vertAlign w:val="baseline"/>
                <w:lang w:eastAsia="zh-CN"/>
              </w:rPr>
              <w:t>项目</w:t>
            </w:r>
          </w:p>
        </w:tc>
        <w:tc>
          <w:tcPr>
            <w:tcW w:w="4211" w:type="dxa"/>
            <w:vAlign w:val="center"/>
          </w:tcPr>
          <w:p>
            <w:pPr>
              <w:jc w:val="center"/>
              <w:rPr>
                <w:rFonts w:hint="eastAsia" w:ascii="仿宋" w:hAnsi="仿宋" w:eastAsia="仿宋" w:cs="仿宋"/>
                <w:b/>
                <w:bCs/>
                <w:vertAlign w:val="baseline"/>
                <w:lang w:eastAsia="zh-CN"/>
              </w:rPr>
            </w:pPr>
            <w:r>
              <w:rPr>
                <w:rFonts w:hint="eastAsia" w:ascii="仿宋" w:hAnsi="仿宋" w:eastAsia="仿宋" w:cs="仿宋"/>
                <w:b/>
                <w:bCs/>
                <w:vertAlign w:val="baseline"/>
                <w:lang w:eastAsia="zh-CN"/>
              </w:rPr>
              <w:t>标准内容</w:t>
            </w:r>
          </w:p>
        </w:tc>
        <w:tc>
          <w:tcPr>
            <w:tcW w:w="653" w:type="dxa"/>
            <w:vAlign w:val="center"/>
          </w:tcPr>
          <w:p>
            <w:pPr>
              <w:jc w:val="center"/>
              <w:rPr>
                <w:rFonts w:hint="eastAsia" w:ascii="仿宋" w:hAnsi="仿宋" w:eastAsia="仿宋" w:cs="仿宋"/>
                <w:b/>
                <w:bCs/>
                <w:vertAlign w:val="baseline"/>
                <w:lang w:eastAsia="zh-CN"/>
              </w:rPr>
            </w:pPr>
            <w:r>
              <w:rPr>
                <w:rFonts w:hint="eastAsia" w:ascii="仿宋" w:hAnsi="仿宋" w:eastAsia="仿宋" w:cs="仿宋"/>
                <w:b/>
                <w:bCs/>
                <w:vertAlign w:val="baseline"/>
                <w:lang w:eastAsia="zh-CN"/>
              </w:rPr>
              <w:t>规定分值</w:t>
            </w:r>
          </w:p>
        </w:tc>
        <w:tc>
          <w:tcPr>
            <w:tcW w:w="879" w:type="dxa"/>
            <w:vAlign w:val="center"/>
          </w:tcPr>
          <w:p>
            <w:pPr>
              <w:jc w:val="center"/>
              <w:rPr>
                <w:rFonts w:hint="eastAsia" w:ascii="仿宋" w:hAnsi="仿宋" w:eastAsia="仿宋" w:cs="仿宋"/>
                <w:b/>
                <w:bCs/>
                <w:vertAlign w:val="baseline"/>
                <w:lang w:eastAsia="zh-CN"/>
              </w:rPr>
            </w:pPr>
            <w:r>
              <w:rPr>
                <w:rFonts w:hint="eastAsia" w:ascii="仿宋" w:hAnsi="仿宋" w:eastAsia="仿宋" w:cs="仿宋"/>
                <w:b/>
                <w:bCs/>
                <w:vertAlign w:val="baseline"/>
                <w:lang w:eastAsia="zh-CN"/>
              </w:rPr>
              <w:t>评分</w:t>
            </w:r>
          </w:p>
          <w:p>
            <w:pPr>
              <w:jc w:val="center"/>
              <w:rPr>
                <w:rFonts w:hint="eastAsia" w:ascii="仿宋" w:hAnsi="仿宋" w:eastAsia="仿宋" w:cs="仿宋"/>
                <w:b/>
                <w:bCs/>
                <w:vertAlign w:val="baseline"/>
                <w:lang w:eastAsia="zh-CN"/>
              </w:rPr>
            </w:pPr>
            <w:r>
              <w:rPr>
                <w:rFonts w:hint="eastAsia" w:ascii="仿宋" w:hAnsi="仿宋" w:eastAsia="仿宋" w:cs="仿宋"/>
                <w:b/>
                <w:bCs/>
                <w:vertAlign w:val="baseline"/>
                <w:lang w:eastAsia="zh-CN"/>
              </w:rPr>
              <w:t>细则</w:t>
            </w:r>
          </w:p>
        </w:tc>
        <w:tc>
          <w:tcPr>
            <w:tcW w:w="868" w:type="dxa"/>
            <w:vAlign w:val="center"/>
          </w:tcPr>
          <w:p>
            <w:pPr>
              <w:jc w:val="center"/>
              <w:rPr>
                <w:rFonts w:hint="eastAsia" w:ascii="仿宋" w:hAnsi="仿宋" w:eastAsia="仿宋" w:cs="仿宋"/>
                <w:b/>
                <w:bCs/>
                <w:vertAlign w:val="baseline"/>
                <w:lang w:eastAsia="zh-CN"/>
              </w:rPr>
            </w:pPr>
            <w:r>
              <w:rPr>
                <w:rFonts w:hint="eastAsia" w:ascii="仿宋" w:hAnsi="仿宋" w:eastAsia="仿宋" w:cs="仿宋"/>
                <w:b/>
                <w:bCs/>
                <w:vertAlign w:val="baseline"/>
                <w:lang w:eastAsia="zh-CN"/>
              </w:rPr>
              <w:t>预评预验分值</w:t>
            </w:r>
          </w:p>
        </w:tc>
        <w:tc>
          <w:tcPr>
            <w:tcW w:w="891" w:type="dxa"/>
            <w:vAlign w:val="center"/>
          </w:tcPr>
          <w:p>
            <w:pPr>
              <w:jc w:val="center"/>
              <w:rPr>
                <w:rFonts w:hint="eastAsia" w:ascii="仿宋" w:hAnsi="仿宋" w:eastAsia="仿宋" w:cs="仿宋"/>
                <w:b/>
                <w:bCs/>
                <w:vertAlign w:val="baseline"/>
                <w:lang w:eastAsia="zh-CN"/>
              </w:rPr>
            </w:pPr>
            <w:r>
              <w:rPr>
                <w:rFonts w:hint="eastAsia" w:ascii="仿宋" w:hAnsi="仿宋" w:eastAsia="仿宋" w:cs="仿宋"/>
                <w:b/>
                <w:bCs/>
                <w:vertAlign w:val="baseline"/>
                <w:lang w:eastAsia="zh-CN"/>
              </w:rPr>
              <w:t>核验评价分值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5231" w:type="dxa"/>
            <w:gridSpan w:val="2"/>
            <w:vAlign w:val="center"/>
          </w:tcPr>
          <w:p>
            <w:pPr>
              <w:jc w:val="both"/>
              <w:rPr>
                <w:rFonts w:hint="eastAsia" w:ascii="仿宋" w:hAnsi="仿宋" w:eastAsia="仿宋" w:cs="仿宋"/>
                <w:vertAlign w:val="baseline"/>
                <w:lang w:eastAsia="zh-CN"/>
              </w:rPr>
            </w:pPr>
            <w:r>
              <w:rPr>
                <w:rFonts w:hint="eastAsia" w:ascii="仿宋" w:hAnsi="仿宋" w:eastAsia="仿宋" w:cs="仿宋"/>
                <w:b w:val="0"/>
                <w:bCs w:val="0"/>
                <w:vertAlign w:val="baseline"/>
                <w:lang w:eastAsia="zh-CN"/>
              </w:rPr>
              <w:t>一、基础管理服务</w:t>
            </w:r>
          </w:p>
        </w:tc>
        <w:tc>
          <w:tcPr>
            <w:tcW w:w="653" w:type="dxa"/>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24</w:t>
            </w:r>
          </w:p>
        </w:tc>
        <w:tc>
          <w:tcPr>
            <w:tcW w:w="879" w:type="dxa"/>
            <w:vAlign w:val="center"/>
          </w:tcPr>
          <w:p>
            <w:pPr>
              <w:jc w:val="center"/>
              <w:rPr>
                <w:rFonts w:hint="eastAsia" w:ascii="仿宋" w:hAnsi="仿宋" w:eastAsia="仿宋" w:cs="仿宋"/>
                <w:vertAlign w:val="baseline"/>
                <w:lang w:eastAsia="zh-CN"/>
              </w:rPr>
            </w:pPr>
          </w:p>
        </w:tc>
        <w:tc>
          <w:tcPr>
            <w:tcW w:w="868" w:type="dxa"/>
            <w:vAlign w:val="center"/>
          </w:tcPr>
          <w:p>
            <w:pPr>
              <w:jc w:val="center"/>
              <w:rPr>
                <w:rFonts w:hint="eastAsia" w:ascii="仿宋" w:hAnsi="仿宋" w:eastAsia="仿宋" w:cs="仿宋"/>
                <w:vertAlign w:val="baseline"/>
                <w:lang w:eastAsia="zh-CN"/>
              </w:rPr>
            </w:pPr>
          </w:p>
        </w:tc>
        <w:tc>
          <w:tcPr>
            <w:tcW w:w="891" w:type="dxa"/>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trPr>
        <w:tc>
          <w:tcPr>
            <w:tcW w:w="1020" w:type="dxa"/>
            <w:vMerge w:val="restart"/>
            <w:vAlign w:val="center"/>
          </w:tcPr>
          <w:p>
            <w:pPr>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物业项目资料</w:t>
            </w: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1、竣工总平面图，单体建筑、结构、设备竣工图，配套设施、地下管网工程竣工图等竣工验收资料；</w:t>
            </w:r>
          </w:p>
        </w:tc>
        <w:tc>
          <w:tcPr>
            <w:tcW w:w="653" w:type="dxa"/>
            <w:vMerge w:val="restart"/>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1</w:t>
            </w:r>
          </w:p>
        </w:tc>
        <w:tc>
          <w:tcPr>
            <w:tcW w:w="879" w:type="dxa"/>
            <w:vMerge w:val="restart"/>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缺一项扣0.2分</w:t>
            </w:r>
          </w:p>
        </w:tc>
        <w:tc>
          <w:tcPr>
            <w:tcW w:w="868" w:type="dxa"/>
            <w:vMerge w:val="restart"/>
            <w:vAlign w:val="center"/>
          </w:tcPr>
          <w:p>
            <w:pPr>
              <w:jc w:val="center"/>
              <w:rPr>
                <w:rFonts w:hint="eastAsia" w:ascii="仿宋" w:hAnsi="仿宋" w:eastAsia="仿宋" w:cs="仿宋"/>
                <w:vertAlign w:val="baseline"/>
                <w:lang w:eastAsia="zh-CN"/>
              </w:rPr>
            </w:pPr>
          </w:p>
        </w:tc>
        <w:tc>
          <w:tcPr>
            <w:tcW w:w="891" w:type="dxa"/>
            <w:vMerge w:val="restart"/>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2、共用设施设备清单及其安装、使用和维护保养等技术资料；</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3、供水、供电、供气、供热、通信、有线电视等准许使用文件；</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4、物业质量保修文件和物业使用说明文件；</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5、承接查验所必须的其他资料。</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20" w:type="dxa"/>
            <w:vMerge w:val="restart"/>
            <w:vAlign w:val="center"/>
          </w:tcPr>
          <w:p>
            <w:pPr>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承接查验手续</w:t>
            </w: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1、物业承接查验协议；</w:t>
            </w:r>
          </w:p>
        </w:tc>
        <w:tc>
          <w:tcPr>
            <w:tcW w:w="653" w:type="dxa"/>
            <w:vMerge w:val="restart"/>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2</w:t>
            </w:r>
          </w:p>
        </w:tc>
        <w:tc>
          <w:tcPr>
            <w:tcW w:w="879" w:type="dxa"/>
            <w:vMerge w:val="restart"/>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缺一项扣0.</w:t>
            </w:r>
            <w:r>
              <w:rPr>
                <w:rFonts w:hint="eastAsia" w:ascii="仿宋" w:hAnsi="仿宋" w:eastAsia="仿宋" w:cs="仿宋"/>
                <w:vertAlign w:val="baseline"/>
                <w:lang w:val="en-US" w:eastAsia="zh-CN"/>
              </w:rPr>
              <w:t>5</w:t>
            </w:r>
            <w:r>
              <w:rPr>
                <w:rFonts w:hint="eastAsia" w:ascii="仿宋" w:hAnsi="仿宋" w:eastAsia="仿宋" w:cs="仿宋"/>
                <w:vertAlign w:val="baseline"/>
                <w:lang w:eastAsia="zh-CN"/>
              </w:rPr>
              <w:t>分</w:t>
            </w:r>
          </w:p>
        </w:tc>
        <w:tc>
          <w:tcPr>
            <w:tcW w:w="868" w:type="dxa"/>
            <w:vMerge w:val="restart"/>
            <w:vAlign w:val="center"/>
          </w:tcPr>
          <w:p>
            <w:pPr>
              <w:jc w:val="center"/>
              <w:rPr>
                <w:rFonts w:hint="eastAsia" w:ascii="仿宋" w:hAnsi="仿宋" w:eastAsia="仿宋" w:cs="仿宋"/>
                <w:vertAlign w:val="baseline"/>
                <w:lang w:eastAsia="zh-CN"/>
              </w:rPr>
            </w:pPr>
          </w:p>
        </w:tc>
        <w:tc>
          <w:tcPr>
            <w:tcW w:w="891" w:type="dxa"/>
            <w:vMerge w:val="restart"/>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2、共用部位、共用设施设备查验记录；</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3、共用部位、共用设施设备交接记录；</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4、物业承接查验备案证明。</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atLeast"/>
        </w:trPr>
        <w:tc>
          <w:tcPr>
            <w:tcW w:w="1020" w:type="dxa"/>
            <w:vMerge w:val="restart"/>
            <w:vAlign w:val="center"/>
          </w:tcPr>
          <w:p>
            <w:pPr>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管理规约制度</w:t>
            </w: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1、物业为多业主所有的，制定（临时）管理规约和业主大会议事规则；物业为单一业主所有的，制定使用人（租户）管理制度；</w:t>
            </w:r>
          </w:p>
        </w:tc>
        <w:tc>
          <w:tcPr>
            <w:tcW w:w="653" w:type="dxa"/>
            <w:vMerge w:val="restart"/>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1</w:t>
            </w:r>
          </w:p>
        </w:tc>
        <w:tc>
          <w:tcPr>
            <w:tcW w:w="879" w:type="dxa"/>
            <w:vMerge w:val="restart"/>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缺一项扣0.</w:t>
            </w:r>
            <w:r>
              <w:rPr>
                <w:rFonts w:hint="eastAsia" w:ascii="仿宋" w:hAnsi="仿宋" w:eastAsia="仿宋" w:cs="仿宋"/>
                <w:vertAlign w:val="baseline"/>
                <w:lang w:val="en-US" w:eastAsia="zh-CN"/>
              </w:rPr>
              <w:t>5</w:t>
            </w:r>
            <w:r>
              <w:rPr>
                <w:rFonts w:hint="eastAsia" w:ascii="仿宋" w:hAnsi="仿宋" w:eastAsia="仿宋" w:cs="仿宋"/>
                <w:vertAlign w:val="baseline"/>
                <w:lang w:eastAsia="zh-CN"/>
              </w:rPr>
              <w:t>分</w:t>
            </w:r>
          </w:p>
        </w:tc>
        <w:tc>
          <w:tcPr>
            <w:tcW w:w="868" w:type="dxa"/>
            <w:vMerge w:val="restart"/>
            <w:vAlign w:val="center"/>
          </w:tcPr>
          <w:p>
            <w:pPr>
              <w:jc w:val="center"/>
              <w:rPr>
                <w:rFonts w:hint="eastAsia" w:ascii="仿宋" w:hAnsi="仿宋" w:eastAsia="仿宋" w:cs="仿宋"/>
                <w:vertAlign w:val="baseline"/>
                <w:lang w:eastAsia="zh-CN"/>
              </w:rPr>
            </w:pPr>
          </w:p>
        </w:tc>
        <w:tc>
          <w:tcPr>
            <w:tcW w:w="891" w:type="dxa"/>
            <w:vMerge w:val="restart"/>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2、临时管理规约经业主书面承诺遵守，管理规约和业主大会议事规则经业主大会表决通过；使用人（租户）管理制度符合法律法规的规定以及租赁合同的约定。</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trPr>
        <w:tc>
          <w:tcPr>
            <w:tcW w:w="1020" w:type="dxa"/>
            <w:vMerge w:val="restart"/>
            <w:vAlign w:val="center"/>
          </w:tcPr>
          <w:p>
            <w:pPr>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物业服务合同</w:t>
            </w: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1、物业服务合同签订符合法律法规规定，租赁合同中物业管理的约定应当与物业服务合同一致，无侵害业主合法权益的内容；</w:t>
            </w:r>
          </w:p>
        </w:tc>
        <w:tc>
          <w:tcPr>
            <w:tcW w:w="653" w:type="dxa"/>
            <w:vMerge w:val="restart"/>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2</w:t>
            </w:r>
          </w:p>
        </w:tc>
        <w:tc>
          <w:tcPr>
            <w:tcW w:w="879" w:type="dxa"/>
            <w:vMerge w:val="restart"/>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缺一项扣0.</w:t>
            </w:r>
            <w:r>
              <w:rPr>
                <w:rFonts w:hint="eastAsia" w:ascii="仿宋" w:hAnsi="仿宋" w:eastAsia="仿宋" w:cs="仿宋"/>
                <w:vertAlign w:val="baseline"/>
                <w:lang w:val="en-US" w:eastAsia="zh-CN"/>
              </w:rPr>
              <w:t>5</w:t>
            </w:r>
            <w:r>
              <w:rPr>
                <w:rFonts w:hint="eastAsia" w:ascii="仿宋" w:hAnsi="仿宋" w:eastAsia="仿宋" w:cs="仿宋"/>
                <w:vertAlign w:val="baseline"/>
                <w:lang w:eastAsia="zh-CN"/>
              </w:rPr>
              <w:t>分</w:t>
            </w:r>
          </w:p>
        </w:tc>
        <w:tc>
          <w:tcPr>
            <w:tcW w:w="868" w:type="dxa"/>
            <w:vMerge w:val="restart"/>
            <w:vAlign w:val="center"/>
          </w:tcPr>
          <w:p>
            <w:pPr>
              <w:jc w:val="center"/>
              <w:rPr>
                <w:rFonts w:hint="eastAsia" w:ascii="仿宋" w:hAnsi="仿宋" w:eastAsia="仿宋" w:cs="仿宋"/>
                <w:vertAlign w:val="baseline"/>
                <w:lang w:eastAsia="zh-CN"/>
              </w:rPr>
            </w:pPr>
          </w:p>
        </w:tc>
        <w:tc>
          <w:tcPr>
            <w:tcW w:w="891" w:type="dxa"/>
            <w:vMerge w:val="restart"/>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2、物业服务合同基本要素规范，无缺项，有物业服务相关标准；</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9"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3、专业服务委托外包的，外包单位的资质条件符合相关规定，专项服务合同或协议符合物业服务合同约定；</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default" w:ascii="仿宋" w:hAnsi="仿宋" w:eastAsia="仿宋" w:cs="仿宋"/>
                <w:color w:val="auto"/>
                <w:vertAlign w:val="baseline"/>
                <w:lang w:val="en-US" w:eastAsia="zh-CN"/>
              </w:rPr>
            </w:pPr>
            <w:r>
              <w:rPr>
                <w:rFonts w:hint="default" w:ascii="仿宋" w:hAnsi="仿宋" w:eastAsia="仿宋" w:cs="仿宋"/>
                <w:color w:val="auto"/>
                <w:vertAlign w:val="baseline"/>
                <w:lang w:val="en-US" w:eastAsia="zh-CN"/>
              </w:rPr>
              <w:t>4</w:t>
            </w:r>
            <w:r>
              <w:rPr>
                <w:rFonts w:hint="eastAsia" w:ascii="仿宋" w:hAnsi="仿宋" w:eastAsia="仿宋" w:cs="仿宋"/>
                <w:color w:val="auto"/>
                <w:vertAlign w:val="baseline"/>
                <w:lang w:val="en-US" w:eastAsia="zh-CN"/>
              </w:rPr>
              <w:t>、</w:t>
            </w:r>
            <w:r>
              <w:rPr>
                <w:rFonts w:hint="default" w:ascii="仿宋" w:hAnsi="仿宋" w:eastAsia="仿宋" w:cs="仿宋"/>
                <w:color w:val="auto"/>
                <w:vertAlign w:val="baseline"/>
                <w:lang w:val="en-US" w:eastAsia="zh-CN"/>
              </w:rPr>
              <w:t>物业服务合同经旗县级物业行政主管部门备案。</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1020" w:type="dxa"/>
            <w:vAlign w:val="center"/>
          </w:tcPr>
          <w:p>
            <w:pPr>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专项维修资金制度</w:t>
            </w: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1、物业为多业主所有的，应当协助并配合业主建立专项维修资金相关制度。</w:t>
            </w:r>
          </w:p>
        </w:tc>
        <w:tc>
          <w:tcPr>
            <w:tcW w:w="653" w:type="dxa"/>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1</w:t>
            </w:r>
          </w:p>
        </w:tc>
        <w:tc>
          <w:tcPr>
            <w:tcW w:w="879"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不符合扣</w:t>
            </w:r>
            <w:r>
              <w:rPr>
                <w:rFonts w:hint="eastAsia" w:ascii="仿宋" w:hAnsi="仿宋" w:eastAsia="仿宋" w:cs="仿宋"/>
                <w:vertAlign w:val="baseline"/>
                <w:lang w:val="en-US" w:eastAsia="zh-CN"/>
              </w:rPr>
              <w:t>1</w:t>
            </w:r>
            <w:r>
              <w:rPr>
                <w:rFonts w:hint="eastAsia" w:ascii="仿宋" w:hAnsi="仿宋" w:eastAsia="仿宋" w:cs="仿宋"/>
                <w:vertAlign w:val="baseline"/>
                <w:lang w:eastAsia="zh-CN"/>
              </w:rPr>
              <w:t>分</w:t>
            </w:r>
          </w:p>
        </w:tc>
        <w:tc>
          <w:tcPr>
            <w:tcW w:w="868" w:type="dxa"/>
            <w:vAlign w:val="center"/>
          </w:tcPr>
          <w:p>
            <w:pPr>
              <w:jc w:val="center"/>
              <w:rPr>
                <w:rFonts w:hint="eastAsia" w:ascii="仿宋" w:hAnsi="仿宋" w:eastAsia="仿宋" w:cs="仿宋"/>
                <w:vertAlign w:val="baseline"/>
                <w:lang w:eastAsia="zh-CN"/>
              </w:rPr>
            </w:pPr>
          </w:p>
        </w:tc>
        <w:tc>
          <w:tcPr>
            <w:tcW w:w="891" w:type="dxa"/>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020" w:type="dxa"/>
            <w:vMerge w:val="restart"/>
            <w:vAlign w:val="center"/>
          </w:tcPr>
          <w:p>
            <w:pPr>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管理服务制度</w:t>
            </w: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1、人力资源管理制度；</w:t>
            </w:r>
          </w:p>
        </w:tc>
        <w:tc>
          <w:tcPr>
            <w:tcW w:w="653" w:type="dxa"/>
            <w:vMerge w:val="restart"/>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2</w:t>
            </w:r>
          </w:p>
        </w:tc>
        <w:tc>
          <w:tcPr>
            <w:tcW w:w="879" w:type="dxa"/>
            <w:vMerge w:val="restart"/>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缺一项扣0.</w:t>
            </w:r>
            <w:r>
              <w:rPr>
                <w:rFonts w:hint="eastAsia" w:ascii="仿宋" w:hAnsi="仿宋" w:eastAsia="仿宋" w:cs="仿宋"/>
                <w:vertAlign w:val="baseline"/>
                <w:lang w:val="en-US" w:eastAsia="zh-CN"/>
              </w:rPr>
              <w:t>2</w:t>
            </w:r>
            <w:r>
              <w:rPr>
                <w:rFonts w:hint="eastAsia" w:ascii="仿宋" w:hAnsi="仿宋" w:eastAsia="仿宋" w:cs="仿宋"/>
                <w:vertAlign w:val="baseline"/>
                <w:lang w:eastAsia="zh-CN"/>
              </w:rPr>
              <w:t>分</w:t>
            </w:r>
          </w:p>
        </w:tc>
        <w:tc>
          <w:tcPr>
            <w:tcW w:w="868" w:type="dxa"/>
            <w:vMerge w:val="restart"/>
            <w:vAlign w:val="center"/>
          </w:tcPr>
          <w:p>
            <w:pPr>
              <w:jc w:val="center"/>
              <w:rPr>
                <w:rFonts w:hint="eastAsia" w:ascii="仿宋" w:hAnsi="仿宋" w:eastAsia="仿宋" w:cs="仿宋"/>
                <w:vertAlign w:val="baseline"/>
                <w:lang w:eastAsia="zh-CN"/>
              </w:rPr>
            </w:pPr>
          </w:p>
        </w:tc>
        <w:tc>
          <w:tcPr>
            <w:tcW w:w="891" w:type="dxa"/>
            <w:vMerge w:val="restart"/>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2、财务管理制度；</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3、档案管理制度；</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4、员工培训学习制度；</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020" w:type="dxa"/>
            <w:vMerge w:val="continue"/>
            <w:vAlign w:val="center"/>
          </w:tcPr>
          <w:p>
            <w:pPr>
              <w:jc w:val="both"/>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5、客户服务管理制度；</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6、物业共用部位维修养护管理制度；</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7、设施设备维修养护管理制度；</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8、秩序维护管理制度；</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9、环境清洁管理制度；</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10、绿化管理制度；</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11、收费管理制度；</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12、节能环保管理制度；</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13、安全生产管理制度；</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default"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14、品质管理制度。</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020" w:type="dxa"/>
            <w:vMerge w:val="restart"/>
            <w:vAlign w:val="center"/>
          </w:tcPr>
          <w:p>
            <w:pPr>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档案</w:t>
            </w:r>
          </w:p>
          <w:p>
            <w:pPr>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管理</w:t>
            </w: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1、物业管理服务各项档案实现动态管理；</w:t>
            </w:r>
          </w:p>
        </w:tc>
        <w:tc>
          <w:tcPr>
            <w:tcW w:w="653" w:type="dxa"/>
            <w:vMerge w:val="restart"/>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1</w:t>
            </w:r>
          </w:p>
        </w:tc>
        <w:tc>
          <w:tcPr>
            <w:tcW w:w="879" w:type="dxa"/>
            <w:vMerge w:val="restart"/>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缺一项扣0.</w:t>
            </w:r>
            <w:r>
              <w:rPr>
                <w:rFonts w:hint="eastAsia" w:ascii="仿宋" w:hAnsi="仿宋" w:eastAsia="仿宋" w:cs="仿宋"/>
                <w:vertAlign w:val="baseline"/>
                <w:lang w:val="en-US" w:eastAsia="zh-CN"/>
              </w:rPr>
              <w:t>2</w:t>
            </w:r>
            <w:r>
              <w:rPr>
                <w:rFonts w:hint="eastAsia" w:ascii="仿宋" w:hAnsi="仿宋" w:eastAsia="仿宋" w:cs="仿宋"/>
                <w:vertAlign w:val="baseline"/>
                <w:lang w:eastAsia="zh-CN"/>
              </w:rPr>
              <w:t>分</w:t>
            </w:r>
          </w:p>
        </w:tc>
        <w:tc>
          <w:tcPr>
            <w:tcW w:w="868" w:type="dxa"/>
            <w:vMerge w:val="restart"/>
            <w:vAlign w:val="center"/>
          </w:tcPr>
          <w:p>
            <w:pPr>
              <w:jc w:val="center"/>
              <w:rPr>
                <w:rFonts w:hint="eastAsia" w:ascii="仿宋" w:hAnsi="仿宋" w:eastAsia="仿宋" w:cs="仿宋"/>
                <w:vertAlign w:val="baseline"/>
                <w:lang w:eastAsia="zh-CN"/>
              </w:rPr>
            </w:pPr>
          </w:p>
        </w:tc>
        <w:tc>
          <w:tcPr>
            <w:tcW w:w="891" w:type="dxa"/>
            <w:vMerge w:val="restart"/>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2、业主信息档案实现动态管理；</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3、档案分类规范，查阅方便；</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4、档案使用登记手续完备；</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5、档案存放环境符合规定条件。</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trPr>
        <w:tc>
          <w:tcPr>
            <w:tcW w:w="1020" w:type="dxa"/>
            <w:vMerge w:val="restart"/>
            <w:vAlign w:val="center"/>
          </w:tcPr>
          <w:p>
            <w:pPr>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突发事件应急机制</w:t>
            </w: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1、制定消防、电梯、给排水、供配电等共用设施设备事故应急预案；</w:t>
            </w:r>
          </w:p>
        </w:tc>
        <w:tc>
          <w:tcPr>
            <w:tcW w:w="653" w:type="dxa"/>
            <w:vMerge w:val="restart"/>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3</w:t>
            </w:r>
          </w:p>
        </w:tc>
        <w:tc>
          <w:tcPr>
            <w:tcW w:w="879" w:type="dxa"/>
            <w:vMerge w:val="restart"/>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缺一项扣</w:t>
            </w:r>
            <w:r>
              <w:rPr>
                <w:rFonts w:hint="eastAsia" w:ascii="仿宋" w:hAnsi="仿宋" w:eastAsia="仿宋" w:cs="仿宋"/>
                <w:vertAlign w:val="baseline"/>
                <w:lang w:val="en-US" w:eastAsia="zh-CN"/>
              </w:rPr>
              <w:t>1</w:t>
            </w:r>
            <w:r>
              <w:rPr>
                <w:rFonts w:hint="eastAsia" w:ascii="仿宋" w:hAnsi="仿宋" w:eastAsia="仿宋" w:cs="仿宋"/>
                <w:vertAlign w:val="baseline"/>
                <w:lang w:eastAsia="zh-CN"/>
              </w:rPr>
              <w:t>分</w:t>
            </w:r>
          </w:p>
        </w:tc>
        <w:tc>
          <w:tcPr>
            <w:tcW w:w="868" w:type="dxa"/>
            <w:vMerge w:val="restart"/>
            <w:vAlign w:val="center"/>
          </w:tcPr>
          <w:p>
            <w:pPr>
              <w:jc w:val="center"/>
              <w:rPr>
                <w:rFonts w:hint="eastAsia" w:ascii="仿宋" w:hAnsi="仿宋" w:eastAsia="仿宋" w:cs="仿宋"/>
                <w:vertAlign w:val="baseline"/>
                <w:lang w:eastAsia="zh-CN"/>
              </w:rPr>
            </w:pPr>
          </w:p>
        </w:tc>
        <w:tc>
          <w:tcPr>
            <w:tcW w:w="891" w:type="dxa"/>
            <w:vMerge w:val="restart"/>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2、制定自然灾害、公共卫生、治安、交通等方面突发事件的配合性应急预案；</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3、应急预案定期演练，并有相应记录。</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1020" w:type="dxa"/>
            <w:vMerge w:val="restart"/>
            <w:vAlign w:val="center"/>
          </w:tcPr>
          <w:p>
            <w:pPr>
              <w:jc w:val="center"/>
              <w:rPr>
                <w:rFonts w:hint="eastAsia" w:ascii="仿宋" w:hAnsi="仿宋" w:eastAsia="仿宋" w:cs="仿宋"/>
                <w:vertAlign w:val="baseline"/>
                <w:lang w:eastAsia="zh-CN"/>
              </w:rPr>
            </w:pPr>
          </w:p>
          <w:p>
            <w:pPr>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员工培训和企业形象</w:t>
            </w: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1、建立企业员工培训体系，根据不同岗位特点制订并落实员工分类培训计划；</w:t>
            </w:r>
          </w:p>
        </w:tc>
        <w:tc>
          <w:tcPr>
            <w:tcW w:w="653" w:type="dxa"/>
            <w:vMerge w:val="restart"/>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2</w:t>
            </w:r>
          </w:p>
        </w:tc>
        <w:tc>
          <w:tcPr>
            <w:tcW w:w="879" w:type="dxa"/>
            <w:vMerge w:val="restart"/>
            <w:vAlign w:val="center"/>
          </w:tcPr>
          <w:p>
            <w:pPr>
              <w:jc w:val="both"/>
              <w:rPr>
                <w:rFonts w:hint="default" w:ascii="仿宋" w:hAnsi="仿宋" w:eastAsia="仿宋" w:cs="仿宋"/>
                <w:vertAlign w:val="baseline"/>
                <w:lang w:val="en-US" w:eastAsia="zh-CN"/>
              </w:rPr>
            </w:pPr>
            <w:r>
              <w:rPr>
                <w:rFonts w:hint="eastAsia" w:ascii="宋体" w:hAnsi="宋体" w:eastAsia="仿宋_GB2312" w:cs="宋体"/>
                <w:color w:val="000000"/>
                <w:kern w:val="0"/>
                <w:szCs w:val="21"/>
              </w:rPr>
              <w:t>一项不符合扣</w:t>
            </w:r>
            <w:r>
              <w:rPr>
                <w:rFonts w:hint="eastAsia" w:ascii="宋体" w:hAnsi="宋体" w:eastAsia="仿宋_GB2312" w:cs="宋体"/>
                <w:color w:val="000000"/>
                <w:kern w:val="0"/>
                <w:szCs w:val="21"/>
                <w:lang w:val="en-US" w:eastAsia="zh-CN"/>
              </w:rPr>
              <w:t>0.4</w:t>
            </w:r>
            <w:r>
              <w:rPr>
                <w:rFonts w:hint="eastAsia" w:ascii="宋体" w:hAnsi="宋体" w:eastAsia="仿宋_GB2312" w:cs="宋体"/>
                <w:color w:val="000000"/>
                <w:kern w:val="0"/>
                <w:szCs w:val="21"/>
              </w:rPr>
              <w:t>分</w:t>
            </w:r>
          </w:p>
        </w:tc>
        <w:tc>
          <w:tcPr>
            <w:tcW w:w="868" w:type="dxa"/>
            <w:vMerge w:val="restart"/>
            <w:vAlign w:val="center"/>
          </w:tcPr>
          <w:p>
            <w:pPr>
              <w:jc w:val="center"/>
              <w:rPr>
                <w:rFonts w:hint="eastAsia" w:ascii="仿宋" w:hAnsi="仿宋" w:eastAsia="仿宋" w:cs="仿宋"/>
                <w:vertAlign w:val="baseline"/>
                <w:lang w:eastAsia="zh-CN"/>
              </w:rPr>
            </w:pPr>
          </w:p>
        </w:tc>
        <w:tc>
          <w:tcPr>
            <w:tcW w:w="891" w:type="dxa"/>
            <w:vMerge w:val="restart"/>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2、专业岗位操作人员按规定持有岗位证书（包括项目负责人、消防监控人员、电梯维修人员、高低压电工等）；</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3、不同岗位服务人员分类统一着装，佩戴工作标志；</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4、服务人员态度热情耐心，举止文明礼貌，解答问题及时准确；</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5、企业标识标牌体系完善，业主手册、服务指南等客户服务资料简明实用。</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7" w:hRule="atLeast"/>
        </w:trPr>
        <w:tc>
          <w:tcPr>
            <w:tcW w:w="1020" w:type="dxa"/>
            <w:vMerge w:val="restart"/>
            <w:vAlign w:val="center"/>
          </w:tcPr>
          <w:p>
            <w:pPr>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客户服务管理</w:t>
            </w: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1、设立物业服务中心，公示物业服务企业营业执照、服务内容和标准、收费标准、项目负责人照片及岗位能力评价证书、服务电话；</w:t>
            </w:r>
          </w:p>
        </w:tc>
        <w:tc>
          <w:tcPr>
            <w:tcW w:w="653" w:type="dxa"/>
            <w:vMerge w:val="restart"/>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5</w:t>
            </w:r>
          </w:p>
        </w:tc>
        <w:tc>
          <w:tcPr>
            <w:tcW w:w="879" w:type="dxa"/>
            <w:vMerge w:val="restart"/>
            <w:vAlign w:val="center"/>
          </w:tcPr>
          <w:p>
            <w:pPr>
              <w:jc w:val="both"/>
              <w:rPr>
                <w:rFonts w:hint="eastAsia" w:ascii="仿宋" w:hAnsi="仿宋" w:eastAsia="仿宋" w:cs="仿宋"/>
                <w:vertAlign w:val="baseline"/>
                <w:lang w:eastAsia="zh-CN"/>
              </w:rPr>
            </w:pPr>
            <w:r>
              <w:rPr>
                <w:rFonts w:hint="eastAsia" w:ascii="宋体" w:hAnsi="宋体" w:eastAsia="仿宋_GB2312" w:cs="宋体"/>
                <w:color w:val="000000"/>
                <w:kern w:val="0"/>
                <w:szCs w:val="21"/>
              </w:rPr>
              <w:t>一项不符合扣</w:t>
            </w:r>
            <w:r>
              <w:rPr>
                <w:rFonts w:hint="eastAsia" w:ascii="宋体" w:hAnsi="宋体" w:eastAsia="仿宋_GB2312"/>
                <w:color w:val="000000"/>
                <w:kern w:val="0"/>
                <w:szCs w:val="21"/>
              </w:rPr>
              <w:t>1</w:t>
            </w:r>
            <w:r>
              <w:rPr>
                <w:rFonts w:hint="eastAsia" w:ascii="宋体" w:hAnsi="宋体" w:eastAsia="仿宋_GB2312" w:cs="宋体"/>
                <w:color w:val="000000"/>
                <w:kern w:val="0"/>
                <w:szCs w:val="21"/>
              </w:rPr>
              <w:t>分</w:t>
            </w:r>
          </w:p>
        </w:tc>
        <w:tc>
          <w:tcPr>
            <w:tcW w:w="868" w:type="dxa"/>
            <w:vMerge w:val="restart"/>
            <w:vAlign w:val="center"/>
          </w:tcPr>
          <w:p>
            <w:pPr>
              <w:jc w:val="center"/>
              <w:rPr>
                <w:rFonts w:hint="eastAsia" w:ascii="仿宋" w:hAnsi="仿宋" w:eastAsia="仿宋" w:cs="仿宋"/>
                <w:vertAlign w:val="baseline"/>
                <w:lang w:eastAsia="zh-CN"/>
              </w:rPr>
            </w:pPr>
          </w:p>
        </w:tc>
        <w:tc>
          <w:tcPr>
            <w:tcW w:w="891" w:type="dxa"/>
            <w:vMerge w:val="restart"/>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2、公示电梯、水、电、气、暖等设施日常维修保养单位的名称、资质、联系方式及维护保养情况等；</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3、有专人负责接待客户来访，24小时受理客户信息，客服接待人员值班记录完整，客户服务信息处理记录完整，有客户回访制度和记录，投诉处理及时率100%，并按月进行统计分析；</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val="en-US" w:eastAsia="zh-CN"/>
              </w:rPr>
              <w:t>4</w:t>
            </w:r>
            <w:r>
              <w:rPr>
                <w:rFonts w:hint="eastAsia" w:ascii="仿宋" w:hAnsi="仿宋" w:eastAsia="仿宋" w:cs="仿宋"/>
                <w:color w:val="auto"/>
                <w:vertAlign w:val="baseline"/>
                <w:lang w:eastAsia="zh-CN"/>
              </w:rPr>
              <w:t>、物业服务收费明码标价，实行物业服务费酬金制的，每年不少于一次公布物业服务费用的收支情况；</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val="en-US" w:eastAsia="zh-CN"/>
              </w:rPr>
              <w:t>5</w:t>
            </w:r>
            <w:r>
              <w:rPr>
                <w:rFonts w:hint="eastAsia" w:ascii="仿宋" w:hAnsi="仿宋" w:eastAsia="仿宋" w:cs="仿宋"/>
                <w:color w:val="auto"/>
                <w:vertAlign w:val="baseline"/>
                <w:lang w:eastAsia="zh-CN"/>
              </w:rPr>
              <w:t>、利用共用部位、共用设施设备经营的，应当征得业主的同意，并定期公布收益情况。</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1020" w:type="dxa"/>
            <w:vMerge w:val="restart"/>
            <w:vAlign w:val="center"/>
          </w:tcPr>
          <w:p>
            <w:pPr>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精神文明建设</w:t>
            </w: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1、精神文明建设有计划，有方案，有措施，有成效；</w:t>
            </w:r>
          </w:p>
        </w:tc>
        <w:tc>
          <w:tcPr>
            <w:tcW w:w="653" w:type="dxa"/>
            <w:vMerge w:val="restart"/>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2</w:t>
            </w:r>
          </w:p>
        </w:tc>
        <w:tc>
          <w:tcPr>
            <w:tcW w:w="879" w:type="dxa"/>
            <w:vMerge w:val="restart"/>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一项不符合扣0.5分</w:t>
            </w:r>
          </w:p>
        </w:tc>
        <w:tc>
          <w:tcPr>
            <w:tcW w:w="868" w:type="dxa"/>
            <w:vMerge w:val="restart"/>
            <w:vAlign w:val="center"/>
          </w:tcPr>
          <w:p>
            <w:pPr>
              <w:jc w:val="center"/>
              <w:rPr>
                <w:rFonts w:hint="eastAsia" w:ascii="仿宋" w:hAnsi="仿宋" w:eastAsia="仿宋" w:cs="仿宋"/>
                <w:vertAlign w:val="baseline"/>
                <w:lang w:eastAsia="zh-CN"/>
              </w:rPr>
            </w:pPr>
          </w:p>
        </w:tc>
        <w:tc>
          <w:tcPr>
            <w:tcW w:w="891" w:type="dxa"/>
            <w:vMerge w:val="restart"/>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2、采用书面资料、宣传栏、网络等方式培养业主的公共道德意识和良好工作习惯；</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3、每年开展二次以上的文体娱乐活动，营造和谐的工作氛围；</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4、积极组织和参与志愿（公益）活动，开展精神文明建设。</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trPr>
        <w:tc>
          <w:tcPr>
            <w:tcW w:w="1020" w:type="dxa"/>
            <w:vMerge w:val="restart"/>
            <w:vAlign w:val="center"/>
          </w:tcPr>
          <w:p>
            <w:pPr>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沟通报告机制</w:t>
            </w: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1、对业主违反治安、消防、环保、房屋装饰装修和使用等方面法律、法规规定的行为，及时进行劝阻，并向有关行政部门报告；</w:t>
            </w:r>
          </w:p>
        </w:tc>
        <w:tc>
          <w:tcPr>
            <w:tcW w:w="653" w:type="dxa"/>
            <w:vMerge w:val="restart"/>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2</w:t>
            </w:r>
          </w:p>
        </w:tc>
        <w:tc>
          <w:tcPr>
            <w:tcW w:w="879" w:type="dxa"/>
            <w:vMerge w:val="restart"/>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一项不符合扣1分</w:t>
            </w:r>
          </w:p>
        </w:tc>
        <w:tc>
          <w:tcPr>
            <w:tcW w:w="868" w:type="dxa"/>
            <w:vMerge w:val="restart"/>
            <w:vAlign w:val="center"/>
          </w:tcPr>
          <w:p>
            <w:pPr>
              <w:jc w:val="center"/>
              <w:rPr>
                <w:rFonts w:hint="eastAsia" w:ascii="仿宋" w:hAnsi="仿宋" w:eastAsia="仿宋" w:cs="仿宋"/>
                <w:vertAlign w:val="baseline"/>
                <w:lang w:eastAsia="zh-CN"/>
              </w:rPr>
            </w:pPr>
          </w:p>
        </w:tc>
        <w:tc>
          <w:tcPr>
            <w:tcW w:w="891" w:type="dxa"/>
            <w:vMerge w:val="restart"/>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9"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2、主动与物业所在地的物业行政主管部门、街道办事处（苏木乡镇人民政府）、公安派出所、居民委员会联络，共同协调解决物业管理中遇到的问题；建立与业主定期沟通机制，积极听取业主、物业使用人对物业服务的意见和建议。</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31" w:type="dxa"/>
            <w:gridSpan w:val="2"/>
            <w:vAlign w:val="center"/>
          </w:tcPr>
          <w:p>
            <w:pPr>
              <w:rPr>
                <w:rFonts w:hint="eastAsia" w:ascii="仿宋" w:hAnsi="仿宋" w:eastAsia="仿宋" w:cs="仿宋"/>
                <w:color w:val="auto"/>
                <w:vertAlign w:val="baseline"/>
                <w:lang w:eastAsia="zh-CN"/>
              </w:rPr>
            </w:pPr>
            <w:r>
              <w:rPr>
                <w:rFonts w:hint="eastAsia" w:ascii="仿宋" w:hAnsi="仿宋" w:eastAsia="仿宋" w:cs="仿宋"/>
                <w:b w:val="0"/>
                <w:bCs w:val="0"/>
                <w:color w:val="auto"/>
                <w:vertAlign w:val="baseline"/>
                <w:lang w:eastAsia="zh-CN"/>
              </w:rPr>
              <w:t>二、物业共用部位管理</w:t>
            </w:r>
          </w:p>
        </w:tc>
        <w:tc>
          <w:tcPr>
            <w:tcW w:w="653" w:type="dxa"/>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11</w:t>
            </w:r>
          </w:p>
        </w:tc>
        <w:tc>
          <w:tcPr>
            <w:tcW w:w="879" w:type="dxa"/>
            <w:vAlign w:val="center"/>
          </w:tcPr>
          <w:p>
            <w:pPr>
              <w:jc w:val="both"/>
              <w:rPr>
                <w:rFonts w:hint="eastAsia" w:ascii="仿宋" w:hAnsi="仿宋" w:eastAsia="仿宋" w:cs="仿宋"/>
                <w:vertAlign w:val="baseline"/>
                <w:lang w:eastAsia="zh-CN"/>
              </w:rPr>
            </w:pPr>
          </w:p>
        </w:tc>
        <w:tc>
          <w:tcPr>
            <w:tcW w:w="868" w:type="dxa"/>
            <w:vAlign w:val="center"/>
          </w:tcPr>
          <w:p>
            <w:pPr>
              <w:jc w:val="center"/>
              <w:rPr>
                <w:rFonts w:hint="eastAsia" w:ascii="仿宋" w:hAnsi="仿宋" w:eastAsia="仿宋" w:cs="仿宋"/>
                <w:vertAlign w:val="baseline"/>
                <w:lang w:eastAsia="zh-CN"/>
              </w:rPr>
            </w:pPr>
          </w:p>
        </w:tc>
        <w:tc>
          <w:tcPr>
            <w:tcW w:w="891" w:type="dxa"/>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020" w:type="dxa"/>
            <w:vMerge w:val="restart"/>
            <w:vAlign w:val="center"/>
          </w:tcPr>
          <w:p>
            <w:pPr>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标识系统和维保资料</w:t>
            </w: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1、物业区域内交通标志、引导指示、安全警示、温馨提示和平面示意图规范清晰；</w:t>
            </w:r>
          </w:p>
        </w:tc>
        <w:tc>
          <w:tcPr>
            <w:tcW w:w="653" w:type="dxa"/>
            <w:vMerge w:val="restart"/>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2</w:t>
            </w:r>
          </w:p>
        </w:tc>
        <w:tc>
          <w:tcPr>
            <w:tcW w:w="879" w:type="dxa"/>
            <w:vMerge w:val="restart"/>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一项不符合扣0.5分，一处不符合扣0.2分</w:t>
            </w:r>
          </w:p>
        </w:tc>
        <w:tc>
          <w:tcPr>
            <w:tcW w:w="868" w:type="dxa"/>
            <w:vMerge w:val="restart"/>
            <w:vAlign w:val="center"/>
          </w:tcPr>
          <w:p>
            <w:pPr>
              <w:jc w:val="center"/>
              <w:rPr>
                <w:rFonts w:hint="eastAsia" w:ascii="仿宋" w:hAnsi="仿宋" w:eastAsia="仿宋" w:cs="仿宋"/>
                <w:vertAlign w:val="baseline"/>
                <w:lang w:eastAsia="zh-CN"/>
              </w:rPr>
            </w:pPr>
          </w:p>
        </w:tc>
        <w:tc>
          <w:tcPr>
            <w:tcW w:w="891" w:type="dxa"/>
            <w:vMerge w:val="restart"/>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val="en-US" w:eastAsia="zh-CN"/>
              </w:rPr>
              <w:t>2</w:t>
            </w:r>
            <w:r>
              <w:rPr>
                <w:rFonts w:hint="eastAsia" w:ascii="仿宋" w:hAnsi="仿宋" w:eastAsia="仿宋" w:cs="仿宋"/>
                <w:color w:val="auto"/>
                <w:vertAlign w:val="baseline"/>
                <w:lang w:eastAsia="zh-CN"/>
              </w:rPr>
              <w:t>、组团及幢、楼层、房号以及配套设施标识规范、清晰；</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val="en-US" w:eastAsia="zh-CN"/>
              </w:rPr>
              <w:t>3</w:t>
            </w:r>
            <w:r>
              <w:rPr>
                <w:rFonts w:hint="eastAsia" w:ascii="仿宋" w:hAnsi="仿宋" w:eastAsia="仿宋" w:cs="仿宋"/>
                <w:color w:val="auto"/>
                <w:vertAlign w:val="baseline"/>
                <w:lang w:eastAsia="zh-CN"/>
              </w:rPr>
              <w:t>、物业区域明显位置设置入驻单位（职能部门）名录牌；</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val="en-US" w:eastAsia="zh-CN"/>
              </w:rPr>
              <w:t>4</w:t>
            </w:r>
            <w:r>
              <w:rPr>
                <w:rFonts w:hint="eastAsia" w:ascii="仿宋" w:hAnsi="仿宋" w:eastAsia="仿宋" w:cs="仿宋"/>
                <w:color w:val="auto"/>
                <w:vertAlign w:val="baseline"/>
                <w:lang w:eastAsia="zh-CN"/>
              </w:rPr>
              <w:t>、物业维修、保养记录完整；</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020" w:type="dxa"/>
            <w:vMerge w:val="restart"/>
            <w:vAlign w:val="center"/>
          </w:tcPr>
          <w:p>
            <w:pPr>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共用部位使用管理</w:t>
            </w: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1、共用场地、部位符合规划要求，无违章搭建现象；</w:t>
            </w:r>
          </w:p>
        </w:tc>
        <w:tc>
          <w:tcPr>
            <w:tcW w:w="653" w:type="dxa"/>
            <w:vMerge w:val="restart"/>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2</w:t>
            </w:r>
          </w:p>
        </w:tc>
        <w:tc>
          <w:tcPr>
            <w:tcW w:w="879" w:type="dxa"/>
            <w:vMerge w:val="restart"/>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一项不符合扣</w:t>
            </w:r>
            <w:r>
              <w:rPr>
                <w:rFonts w:hint="eastAsia" w:ascii="仿宋" w:hAnsi="仿宋" w:eastAsia="仿宋" w:cs="仿宋"/>
                <w:vertAlign w:val="baseline"/>
                <w:lang w:val="en-US" w:eastAsia="zh-CN"/>
              </w:rPr>
              <w:t>1</w:t>
            </w:r>
            <w:r>
              <w:rPr>
                <w:rFonts w:hint="eastAsia" w:ascii="仿宋" w:hAnsi="仿宋" w:eastAsia="仿宋" w:cs="仿宋"/>
                <w:vertAlign w:val="baseline"/>
                <w:lang w:eastAsia="zh-CN"/>
              </w:rPr>
              <w:t>分，一处不符合扣0.2分</w:t>
            </w:r>
          </w:p>
        </w:tc>
        <w:tc>
          <w:tcPr>
            <w:tcW w:w="868" w:type="dxa"/>
            <w:vMerge w:val="restart"/>
            <w:vAlign w:val="center"/>
          </w:tcPr>
          <w:p>
            <w:pPr>
              <w:jc w:val="center"/>
              <w:rPr>
                <w:rFonts w:hint="eastAsia" w:ascii="仿宋" w:hAnsi="仿宋" w:eastAsia="仿宋" w:cs="仿宋"/>
                <w:vertAlign w:val="baseline"/>
                <w:lang w:eastAsia="zh-CN"/>
              </w:rPr>
            </w:pPr>
          </w:p>
        </w:tc>
        <w:tc>
          <w:tcPr>
            <w:tcW w:w="891" w:type="dxa"/>
            <w:vMerge w:val="restart"/>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2、物业共用部位使用符合建筑设计要求，无擅自改变用途现象。</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trPr>
        <w:tc>
          <w:tcPr>
            <w:tcW w:w="1020" w:type="dxa"/>
            <w:vMerge w:val="restart"/>
            <w:vAlign w:val="center"/>
          </w:tcPr>
          <w:p>
            <w:pPr>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物业外观状况</w:t>
            </w: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1、房屋外观完好、整洁，无破损、脱落、渗水、污迹、乱贴、乱涂、乱画、乱挂现象；</w:t>
            </w:r>
          </w:p>
        </w:tc>
        <w:tc>
          <w:tcPr>
            <w:tcW w:w="653" w:type="dxa"/>
            <w:vMerge w:val="restart"/>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2</w:t>
            </w:r>
          </w:p>
        </w:tc>
        <w:tc>
          <w:tcPr>
            <w:tcW w:w="879" w:type="dxa"/>
            <w:vMerge w:val="restart"/>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一项不符合扣</w:t>
            </w:r>
            <w:r>
              <w:rPr>
                <w:rFonts w:hint="eastAsia" w:ascii="仿宋" w:hAnsi="仿宋" w:eastAsia="仿宋" w:cs="仿宋"/>
                <w:vertAlign w:val="baseline"/>
                <w:lang w:val="en-US" w:eastAsia="zh-CN"/>
              </w:rPr>
              <w:t>1</w:t>
            </w:r>
            <w:r>
              <w:rPr>
                <w:rFonts w:hint="eastAsia" w:ascii="仿宋" w:hAnsi="仿宋" w:eastAsia="仿宋" w:cs="仿宋"/>
                <w:vertAlign w:val="baseline"/>
                <w:lang w:eastAsia="zh-CN"/>
              </w:rPr>
              <w:t>分，一处不符合扣0.2分</w:t>
            </w:r>
          </w:p>
        </w:tc>
        <w:tc>
          <w:tcPr>
            <w:tcW w:w="868" w:type="dxa"/>
            <w:vMerge w:val="restart"/>
            <w:vAlign w:val="center"/>
          </w:tcPr>
          <w:p>
            <w:pPr>
              <w:jc w:val="center"/>
              <w:rPr>
                <w:rFonts w:hint="eastAsia" w:ascii="仿宋" w:hAnsi="仿宋" w:eastAsia="仿宋" w:cs="仿宋"/>
                <w:vertAlign w:val="baseline"/>
                <w:lang w:eastAsia="zh-CN"/>
              </w:rPr>
            </w:pPr>
          </w:p>
        </w:tc>
        <w:tc>
          <w:tcPr>
            <w:tcW w:w="891" w:type="dxa"/>
            <w:vMerge w:val="restart"/>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2、外墙清洗或粉刷按合同和计划组织实施、记录完整。</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1020" w:type="dxa"/>
            <w:vMerge w:val="restart"/>
            <w:vAlign w:val="center"/>
          </w:tcPr>
          <w:p>
            <w:pPr>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室外附加设施管理</w:t>
            </w: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1、制定并实施室外附加设施统一、规范的安装标准和管理制度；</w:t>
            </w:r>
          </w:p>
        </w:tc>
        <w:tc>
          <w:tcPr>
            <w:tcW w:w="653" w:type="dxa"/>
            <w:vMerge w:val="restart"/>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2</w:t>
            </w:r>
          </w:p>
        </w:tc>
        <w:tc>
          <w:tcPr>
            <w:tcW w:w="879" w:type="dxa"/>
            <w:vMerge w:val="restart"/>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一项不符合扣0.5分，一处不符合扣0.2分</w:t>
            </w:r>
          </w:p>
        </w:tc>
        <w:tc>
          <w:tcPr>
            <w:tcW w:w="868" w:type="dxa"/>
            <w:vMerge w:val="restart"/>
            <w:vAlign w:val="center"/>
          </w:tcPr>
          <w:p>
            <w:pPr>
              <w:jc w:val="center"/>
              <w:rPr>
                <w:rFonts w:hint="eastAsia" w:ascii="仿宋" w:hAnsi="仿宋" w:eastAsia="仿宋" w:cs="仿宋"/>
                <w:vertAlign w:val="baseline"/>
                <w:lang w:eastAsia="zh-CN"/>
              </w:rPr>
            </w:pPr>
          </w:p>
        </w:tc>
        <w:tc>
          <w:tcPr>
            <w:tcW w:w="891" w:type="dxa"/>
            <w:vMerge w:val="restart"/>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val="en-US" w:eastAsia="zh-CN"/>
              </w:rPr>
              <w:t>2</w:t>
            </w:r>
            <w:r>
              <w:rPr>
                <w:rFonts w:hint="eastAsia" w:ascii="仿宋" w:hAnsi="仿宋" w:eastAsia="仿宋" w:cs="仿宋"/>
                <w:color w:val="auto"/>
                <w:vertAlign w:val="baseline"/>
                <w:lang w:eastAsia="zh-CN"/>
              </w:rPr>
              <w:t>、室外招牌、广告牌、夜景灯等设施按规定办理报批，手续齐全，色彩风格统一；</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3、空调安装位置统一，管线整齐，冷凝水集中排放；</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4、定期巡视检查，发现安全隐患，及时告知或劝阻业主及相关当事人，并采取相应防范措施。</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1" w:hRule="atLeast"/>
        </w:trPr>
        <w:tc>
          <w:tcPr>
            <w:tcW w:w="1020" w:type="dxa"/>
            <w:vMerge w:val="restart"/>
            <w:vAlign w:val="center"/>
          </w:tcPr>
          <w:p>
            <w:pPr>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装饰装修管理</w:t>
            </w: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1、按相关规定审核客户装修方案，特殊场所装修装饰方案须经消防部门核准；签订装饰装修管理服务协议，明确禁止行为和注意事项，办理装修施工批准手续；</w:t>
            </w:r>
          </w:p>
        </w:tc>
        <w:tc>
          <w:tcPr>
            <w:tcW w:w="653" w:type="dxa"/>
            <w:vMerge w:val="restart"/>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2</w:t>
            </w:r>
          </w:p>
        </w:tc>
        <w:tc>
          <w:tcPr>
            <w:tcW w:w="879" w:type="dxa"/>
            <w:vMerge w:val="restart"/>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一项不符合扣0.5分一处不符合扣0.2分</w:t>
            </w:r>
          </w:p>
          <w:p>
            <w:pPr>
              <w:jc w:val="both"/>
              <w:rPr>
                <w:rFonts w:hint="eastAsia" w:ascii="仿宋" w:hAnsi="仿宋" w:eastAsia="仿宋" w:cs="仿宋"/>
                <w:vertAlign w:val="baseline"/>
                <w:lang w:eastAsia="zh-CN"/>
              </w:rPr>
            </w:pPr>
          </w:p>
        </w:tc>
        <w:tc>
          <w:tcPr>
            <w:tcW w:w="868" w:type="dxa"/>
            <w:vMerge w:val="restart"/>
            <w:vAlign w:val="center"/>
          </w:tcPr>
          <w:p>
            <w:pPr>
              <w:jc w:val="center"/>
              <w:rPr>
                <w:rFonts w:hint="eastAsia" w:ascii="仿宋" w:hAnsi="仿宋" w:eastAsia="仿宋" w:cs="仿宋"/>
                <w:vertAlign w:val="baseline"/>
                <w:lang w:eastAsia="zh-CN"/>
              </w:rPr>
            </w:pPr>
          </w:p>
        </w:tc>
        <w:tc>
          <w:tcPr>
            <w:tcW w:w="891" w:type="dxa"/>
            <w:vMerge w:val="restart"/>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default"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2、装修人员出入和装修施工时间有效控制，装修垃圾定点堆放，定时清运；</w:t>
            </w:r>
          </w:p>
        </w:tc>
        <w:tc>
          <w:tcPr>
            <w:tcW w:w="653" w:type="dxa"/>
            <w:vMerge w:val="continue"/>
            <w:vAlign w:val="center"/>
          </w:tcPr>
          <w:p>
            <w:pPr>
              <w:jc w:val="center"/>
              <w:rPr>
                <w:rFonts w:hint="eastAsia" w:ascii="仿宋" w:hAnsi="仿宋" w:eastAsia="仿宋" w:cs="仿宋"/>
                <w:vertAlign w:val="baseline"/>
                <w:lang w:val="en-US"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default"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3、专人每日巡视检查装修现场，及时劝阻和制止装修违规行为，制止无效的，书面报告有关部门；</w:t>
            </w:r>
          </w:p>
        </w:tc>
        <w:tc>
          <w:tcPr>
            <w:tcW w:w="653" w:type="dxa"/>
            <w:vMerge w:val="continue"/>
            <w:vAlign w:val="center"/>
          </w:tcPr>
          <w:p>
            <w:pPr>
              <w:jc w:val="center"/>
              <w:rPr>
                <w:rFonts w:hint="eastAsia" w:ascii="仿宋" w:hAnsi="仿宋" w:eastAsia="仿宋" w:cs="仿宋"/>
                <w:vertAlign w:val="baseline"/>
                <w:lang w:val="en-US"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val="en-US" w:eastAsia="zh-CN"/>
              </w:rPr>
              <w:t>4</w:t>
            </w:r>
            <w:r>
              <w:rPr>
                <w:rFonts w:hint="eastAsia" w:ascii="仿宋" w:hAnsi="仿宋" w:eastAsia="仿宋" w:cs="仿宋"/>
                <w:color w:val="auto"/>
                <w:vertAlign w:val="baseline"/>
                <w:lang w:eastAsia="zh-CN"/>
              </w:rPr>
              <w:t>、装修验收手续完备，装修档案保存完整。</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atLeast"/>
        </w:trPr>
        <w:tc>
          <w:tcPr>
            <w:tcW w:w="1020" w:type="dxa"/>
            <w:vMerge w:val="restart"/>
            <w:vAlign w:val="center"/>
          </w:tcPr>
          <w:p>
            <w:pPr>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日常巡视、检查与管理</w:t>
            </w: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1、定期巡查天台、楼梯、通道、窗户等共用部位，发现损坏，及时维修养护并做好记录；</w:t>
            </w:r>
          </w:p>
        </w:tc>
        <w:tc>
          <w:tcPr>
            <w:tcW w:w="653" w:type="dxa"/>
            <w:vMerge w:val="restart"/>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1</w:t>
            </w:r>
          </w:p>
        </w:tc>
        <w:tc>
          <w:tcPr>
            <w:tcW w:w="879" w:type="dxa"/>
            <w:vMerge w:val="restart"/>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一项不符合扣0.5分，一处不符合扣0.2分</w:t>
            </w:r>
          </w:p>
        </w:tc>
        <w:tc>
          <w:tcPr>
            <w:tcW w:w="868" w:type="dxa"/>
            <w:vMerge w:val="restart"/>
            <w:vAlign w:val="center"/>
          </w:tcPr>
          <w:p>
            <w:pPr>
              <w:jc w:val="center"/>
              <w:rPr>
                <w:rFonts w:hint="eastAsia" w:ascii="仿宋" w:hAnsi="仿宋" w:eastAsia="仿宋" w:cs="仿宋"/>
                <w:vertAlign w:val="baseline"/>
                <w:lang w:eastAsia="zh-CN"/>
              </w:rPr>
            </w:pPr>
          </w:p>
        </w:tc>
        <w:tc>
          <w:tcPr>
            <w:tcW w:w="891" w:type="dxa"/>
            <w:vMerge w:val="restart"/>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2、门窗无破损，楼梯、通道以及屋面无乱堆乱放现象，屋面防水性能良好。</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231" w:type="dxa"/>
            <w:gridSpan w:val="2"/>
            <w:vAlign w:val="center"/>
          </w:tcPr>
          <w:p>
            <w:pPr>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三、共用设施设备运行、维修和养护</w:t>
            </w:r>
          </w:p>
        </w:tc>
        <w:tc>
          <w:tcPr>
            <w:tcW w:w="653" w:type="dxa"/>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29</w:t>
            </w:r>
          </w:p>
        </w:tc>
        <w:tc>
          <w:tcPr>
            <w:tcW w:w="879" w:type="dxa"/>
            <w:vAlign w:val="center"/>
          </w:tcPr>
          <w:p>
            <w:pPr>
              <w:jc w:val="both"/>
              <w:rPr>
                <w:rFonts w:hint="eastAsia" w:ascii="仿宋" w:hAnsi="仿宋" w:eastAsia="仿宋" w:cs="仿宋"/>
                <w:vertAlign w:val="baseline"/>
                <w:lang w:eastAsia="zh-CN"/>
              </w:rPr>
            </w:pPr>
          </w:p>
        </w:tc>
        <w:tc>
          <w:tcPr>
            <w:tcW w:w="868" w:type="dxa"/>
            <w:vAlign w:val="center"/>
          </w:tcPr>
          <w:p>
            <w:pPr>
              <w:jc w:val="center"/>
              <w:rPr>
                <w:rFonts w:hint="eastAsia" w:ascii="仿宋" w:hAnsi="仿宋" w:eastAsia="仿宋" w:cs="仿宋"/>
                <w:vertAlign w:val="baseline"/>
                <w:lang w:eastAsia="zh-CN"/>
              </w:rPr>
            </w:pPr>
          </w:p>
        </w:tc>
        <w:tc>
          <w:tcPr>
            <w:tcW w:w="891" w:type="dxa"/>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1020" w:type="dxa"/>
            <w:vMerge w:val="restart"/>
            <w:vAlign w:val="center"/>
          </w:tcPr>
          <w:p>
            <w:pPr>
              <w:jc w:val="center"/>
              <w:rPr>
                <w:rFonts w:hint="eastAsia" w:ascii="仿宋" w:hAnsi="仿宋" w:eastAsia="仿宋" w:cs="仿宋"/>
                <w:vertAlign w:val="baseline"/>
                <w:lang w:eastAsia="zh-CN"/>
              </w:rPr>
            </w:pPr>
            <w:r>
              <w:rPr>
                <w:rFonts w:hint="eastAsia" w:ascii="仿宋" w:hAnsi="仿宋" w:eastAsia="仿宋" w:cs="仿宋"/>
                <w:color w:val="auto"/>
                <w:vertAlign w:val="baseline"/>
                <w:lang w:eastAsia="zh-CN"/>
              </w:rPr>
              <w:t>共用设施设备管理和运行状况</w:t>
            </w: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1、设施设备专业管理人员配置合理，岗位责任明确；</w:t>
            </w:r>
          </w:p>
        </w:tc>
        <w:tc>
          <w:tcPr>
            <w:tcW w:w="653" w:type="dxa"/>
            <w:vMerge w:val="restart"/>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4</w:t>
            </w:r>
          </w:p>
        </w:tc>
        <w:tc>
          <w:tcPr>
            <w:tcW w:w="879" w:type="dxa"/>
            <w:vMerge w:val="restart"/>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一项不符合扣0.5分</w:t>
            </w:r>
          </w:p>
        </w:tc>
        <w:tc>
          <w:tcPr>
            <w:tcW w:w="868" w:type="dxa"/>
            <w:vMerge w:val="restart"/>
            <w:vAlign w:val="center"/>
          </w:tcPr>
          <w:p>
            <w:pPr>
              <w:jc w:val="center"/>
              <w:rPr>
                <w:rFonts w:hint="eastAsia" w:ascii="仿宋" w:hAnsi="仿宋" w:eastAsia="仿宋" w:cs="仿宋"/>
                <w:vertAlign w:val="baseline"/>
                <w:lang w:eastAsia="zh-CN"/>
              </w:rPr>
            </w:pPr>
          </w:p>
        </w:tc>
        <w:tc>
          <w:tcPr>
            <w:tcW w:w="891" w:type="dxa"/>
            <w:vMerge w:val="restart"/>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2、建立设施设备总账、台账、设备卡，设施设备标识齐全、规范；</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3、设施设备运行、维护、保养、检查、应急管理等管理制度健全；</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4、制定并实施年、季、月度设施设备维护、保养计划；</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5、日常设施设备检修、巡视、保养、紧急情况处理等记录齐全；</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6、制定并实施维修工具、备品、备件和化学品等存放和管理制度；</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7、制定并实施专业外包合同全程监管制度；</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8、操作人员熟练掌握、严格执行设施设备操作规程及保养规范。</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1020" w:type="dxa"/>
            <w:vMerge w:val="restart"/>
            <w:vAlign w:val="center"/>
          </w:tcPr>
          <w:p>
            <w:pPr>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室外共用管线、管道和道路管理</w:t>
            </w: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1、室外共用管线统一入地或入公共管道，整齐有序，无架空管线；</w:t>
            </w:r>
          </w:p>
        </w:tc>
        <w:tc>
          <w:tcPr>
            <w:tcW w:w="653" w:type="dxa"/>
            <w:vMerge w:val="restart"/>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2</w:t>
            </w:r>
          </w:p>
        </w:tc>
        <w:tc>
          <w:tcPr>
            <w:tcW w:w="879" w:type="dxa"/>
            <w:vMerge w:val="restart"/>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一项不符合扣0.5分，一处不符合扣0.2分</w:t>
            </w:r>
          </w:p>
        </w:tc>
        <w:tc>
          <w:tcPr>
            <w:tcW w:w="868" w:type="dxa"/>
            <w:vMerge w:val="restart"/>
            <w:vAlign w:val="center"/>
          </w:tcPr>
          <w:p>
            <w:pPr>
              <w:jc w:val="center"/>
              <w:rPr>
                <w:rFonts w:hint="eastAsia" w:ascii="仿宋" w:hAnsi="仿宋" w:eastAsia="仿宋" w:cs="仿宋"/>
                <w:vertAlign w:val="baseline"/>
                <w:lang w:eastAsia="zh-CN"/>
              </w:rPr>
            </w:pPr>
          </w:p>
        </w:tc>
        <w:tc>
          <w:tcPr>
            <w:tcW w:w="891" w:type="dxa"/>
            <w:vMerge w:val="restart"/>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2、排水排污管道通畅；</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3、雨水井、化粪池定期巡检、疏通与清掏，无堵塞、外溢现象；</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4、道路通畅，路面整洁平整，路面井盖无缺损、无丢失，井盖表面标志清晰。</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020" w:type="dxa"/>
            <w:vMerge w:val="restart"/>
            <w:vAlign w:val="center"/>
          </w:tcPr>
          <w:p>
            <w:pPr>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设备机房管理</w:t>
            </w: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1、设备系统图（平面图）、操作规程、岗位责任制度、应急预案、特种作业人员资格证书等齐全，张贴于机房明显位置；</w:t>
            </w:r>
          </w:p>
        </w:tc>
        <w:tc>
          <w:tcPr>
            <w:tcW w:w="653" w:type="dxa"/>
            <w:vMerge w:val="restart"/>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3</w:t>
            </w:r>
          </w:p>
        </w:tc>
        <w:tc>
          <w:tcPr>
            <w:tcW w:w="879" w:type="dxa"/>
            <w:vMerge w:val="restart"/>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一项不符合扣0.5分，一处不符合扣0.2分</w:t>
            </w:r>
          </w:p>
        </w:tc>
        <w:tc>
          <w:tcPr>
            <w:tcW w:w="868" w:type="dxa"/>
            <w:vMerge w:val="restart"/>
            <w:vAlign w:val="center"/>
          </w:tcPr>
          <w:p>
            <w:pPr>
              <w:jc w:val="center"/>
              <w:rPr>
                <w:rFonts w:hint="eastAsia" w:ascii="仿宋" w:hAnsi="仿宋" w:eastAsia="仿宋" w:cs="仿宋"/>
                <w:vertAlign w:val="baseline"/>
                <w:lang w:eastAsia="zh-CN"/>
              </w:rPr>
            </w:pPr>
          </w:p>
        </w:tc>
        <w:tc>
          <w:tcPr>
            <w:tcW w:w="891" w:type="dxa"/>
            <w:vMerge w:val="restart"/>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default"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2、工作人员交接班及非工作人员进出管理制度完善、记录完整；</w:t>
            </w:r>
          </w:p>
        </w:tc>
        <w:tc>
          <w:tcPr>
            <w:tcW w:w="653" w:type="dxa"/>
            <w:vMerge w:val="continue"/>
            <w:vAlign w:val="center"/>
          </w:tcPr>
          <w:p>
            <w:pPr>
              <w:jc w:val="center"/>
              <w:rPr>
                <w:rFonts w:hint="eastAsia" w:ascii="仿宋" w:hAnsi="仿宋" w:eastAsia="仿宋" w:cs="仿宋"/>
                <w:vertAlign w:val="baseline"/>
                <w:lang w:val="en-US"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val="en-US" w:eastAsia="zh-CN"/>
              </w:rPr>
              <w:t>3</w:t>
            </w:r>
            <w:r>
              <w:rPr>
                <w:rFonts w:hint="eastAsia" w:ascii="仿宋" w:hAnsi="仿宋" w:eastAsia="仿宋" w:cs="仿宋"/>
                <w:color w:val="auto"/>
                <w:vertAlign w:val="baseline"/>
                <w:lang w:eastAsia="zh-CN"/>
              </w:rPr>
              <w:t>、设备管线标志清晰，仪器仪表运行正常、数据准确；</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val="en-US" w:eastAsia="zh-CN"/>
              </w:rPr>
              <w:t>4</w:t>
            </w:r>
            <w:r>
              <w:rPr>
                <w:rFonts w:hint="eastAsia" w:ascii="仿宋" w:hAnsi="仿宋" w:eastAsia="仿宋" w:cs="仿宋"/>
                <w:color w:val="auto"/>
                <w:vertAlign w:val="baseline"/>
                <w:lang w:eastAsia="zh-CN"/>
              </w:rPr>
              <w:t>、机房整洁、无渗漏、无积水、无杂物堆放，设备表面无积尘、无锈蚀；</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val="en-US" w:eastAsia="zh-CN"/>
              </w:rPr>
              <w:t>5、</w:t>
            </w:r>
            <w:r>
              <w:rPr>
                <w:rFonts w:hint="eastAsia" w:ascii="仿宋" w:hAnsi="仿宋" w:eastAsia="仿宋" w:cs="仿宋"/>
                <w:color w:val="auto"/>
                <w:vertAlign w:val="baseline"/>
                <w:lang w:eastAsia="zh-CN"/>
              </w:rPr>
              <w:t>防鼠板、防鼠网材质、规格，防鼠药物投放等符合规范要求；</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default"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6、设备噪声符合规范要求，有环境要求的设备机房，温、湿度在规定范围内。</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1020" w:type="dxa"/>
            <w:vMerge w:val="restart"/>
            <w:vAlign w:val="center"/>
          </w:tcPr>
          <w:p>
            <w:pPr>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库房</w:t>
            </w:r>
          </w:p>
          <w:p>
            <w:pPr>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管理</w:t>
            </w:r>
          </w:p>
        </w:tc>
        <w:tc>
          <w:tcPr>
            <w:tcW w:w="4211" w:type="dxa"/>
            <w:vAlign w:val="center"/>
          </w:tcPr>
          <w:p>
            <w:pPr>
              <w:jc w:val="both"/>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1、建立并实施维修工具、备品、备件采购、存放、出入库和报废管理制度；</w:t>
            </w:r>
          </w:p>
        </w:tc>
        <w:tc>
          <w:tcPr>
            <w:tcW w:w="653" w:type="dxa"/>
            <w:vMerge w:val="restart"/>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1</w:t>
            </w:r>
          </w:p>
        </w:tc>
        <w:tc>
          <w:tcPr>
            <w:tcW w:w="879" w:type="dxa"/>
            <w:vMerge w:val="restart"/>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 xml:space="preserve">一项不符合扣0.5分，一处不符合扣0.2分 </w:t>
            </w:r>
          </w:p>
        </w:tc>
        <w:tc>
          <w:tcPr>
            <w:tcW w:w="868" w:type="dxa"/>
            <w:vMerge w:val="restart"/>
            <w:vAlign w:val="center"/>
          </w:tcPr>
          <w:p>
            <w:pPr>
              <w:jc w:val="center"/>
              <w:rPr>
                <w:rFonts w:hint="eastAsia" w:ascii="仿宋" w:hAnsi="仿宋" w:eastAsia="仿宋" w:cs="仿宋"/>
                <w:vertAlign w:val="baseline"/>
                <w:lang w:eastAsia="zh-CN"/>
              </w:rPr>
            </w:pPr>
          </w:p>
        </w:tc>
        <w:tc>
          <w:tcPr>
            <w:tcW w:w="891" w:type="dxa"/>
            <w:vMerge w:val="restart"/>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2、对危险品、化学品等特殊备品、备件单独存放，并定期检查。</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trPr>
        <w:tc>
          <w:tcPr>
            <w:tcW w:w="1020" w:type="dxa"/>
            <w:vMerge w:val="restart"/>
            <w:vAlign w:val="center"/>
          </w:tcPr>
          <w:p>
            <w:pPr>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供电系统管理</w:t>
            </w: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1、管理制度与措施符合专业要求，执行严格，设备编号有序，运行、维修、保养、巡检记录完整；</w:t>
            </w:r>
          </w:p>
        </w:tc>
        <w:tc>
          <w:tcPr>
            <w:tcW w:w="653" w:type="dxa"/>
            <w:vMerge w:val="restart"/>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3</w:t>
            </w:r>
          </w:p>
        </w:tc>
        <w:tc>
          <w:tcPr>
            <w:tcW w:w="879" w:type="dxa"/>
            <w:vMerge w:val="restart"/>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一项不符合扣0.5分，一处不符合扣0.2分</w:t>
            </w:r>
          </w:p>
        </w:tc>
        <w:tc>
          <w:tcPr>
            <w:tcW w:w="868" w:type="dxa"/>
            <w:vMerge w:val="restart"/>
            <w:vAlign w:val="center"/>
          </w:tcPr>
          <w:p>
            <w:pPr>
              <w:jc w:val="center"/>
              <w:rPr>
                <w:rFonts w:hint="eastAsia" w:ascii="仿宋" w:hAnsi="仿宋" w:eastAsia="仿宋" w:cs="仿宋"/>
                <w:vertAlign w:val="baseline"/>
                <w:lang w:eastAsia="zh-CN"/>
              </w:rPr>
            </w:pPr>
          </w:p>
        </w:tc>
        <w:tc>
          <w:tcPr>
            <w:tcW w:w="891" w:type="dxa"/>
            <w:vMerge w:val="restart"/>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default"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2、停、送电严格执行操作制度；</w:t>
            </w:r>
          </w:p>
        </w:tc>
        <w:tc>
          <w:tcPr>
            <w:tcW w:w="653" w:type="dxa"/>
            <w:vMerge w:val="continue"/>
            <w:vAlign w:val="center"/>
          </w:tcPr>
          <w:p>
            <w:pPr>
              <w:jc w:val="center"/>
              <w:rPr>
                <w:rFonts w:hint="eastAsia" w:ascii="仿宋" w:hAnsi="仿宋" w:eastAsia="仿宋" w:cs="仿宋"/>
                <w:vertAlign w:val="baseline"/>
                <w:lang w:val="en-US"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default"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3、变配电室安全警示牌配置齐全；</w:t>
            </w:r>
          </w:p>
        </w:tc>
        <w:tc>
          <w:tcPr>
            <w:tcW w:w="653" w:type="dxa"/>
            <w:vMerge w:val="continue"/>
            <w:vAlign w:val="center"/>
          </w:tcPr>
          <w:p>
            <w:pPr>
              <w:jc w:val="center"/>
              <w:rPr>
                <w:rFonts w:hint="eastAsia" w:ascii="仿宋" w:hAnsi="仿宋" w:eastAsia="仿宋" w:cs="仿宋"/>
                <w:vertAlign w:val="baseline"/>
                <w:lang w:val="en-US"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val="en-US" w:eastAsia="zh-CN"/>
              </w:rPr>
              <w:t>4</w:t>
            </w:r>
            <w:r>
              <w:rPr>
                <w:rFonts w:hint="eastAsia" w:ascii="仿宋" w:hAnsi="仿宋" w:eastAsia="仿宋" w:cs="仿宋"/>
                <w:color w:val="auto"/>
                <w:vertAlign w:val="baseline"/>
                <w:lang w:eastAsia="zh-CN"/>
              </w:rPr>
              <w:t>、高压供电检修检验和安全防护用具配置齐全，年检合格；</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val="en-US" w:eastAsia="zh-CN"/>
              </w:rPr>
              <w:t>5</w:t>
            </w:r>
            <w:r>
              <w:rPr>
                <w:rFonts w:hint="eastAsia" w:ascii="仿宋" w:hAnsi="仿宋" w:eastAsia="仿宋" w:cs="仿宋"/>
                <w:color w:val="auto"/>
                <w:vertAlign w:val="baseline"/>
                <w:lang w:eastAsia="zh-CN"/>
              </w:rPr>
              <w:t>、后备电源设备定期检测，能够随时启用；</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020" w:type="dxa"/>
            <w:vMerge w:val="continue"/>
            <w:vAlign w:val="center"/>
          </w:tcPr>
          <w:p>
            <w:pPr>
              <w:jc w:val="both"/>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val="en-US" w:eastAsia="zh-CN"/>
              </w:rPr>
              <w:t>6</w:t>
            </w:r>
            <w:r>
              <w:rPr>
                <w:rFonts w:hint="eastAsia" w:ascii="仿宋" w:hAnsi="仿宋" w:eastAsia="仿宋" w:cs="仿宋"/>
                <w:color w:val="auto"/>
                <w:vertAlign w:val="baseline"/>
                <w:lang w:eastAsia="zh-CN"/>
              </w:rPr>
              <w:t>、公共照明正常，停电提前通知用户。</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1020" w:type="dxa"/>
            <w:vMerge w:val="restart"/>
            <w:vAlign w:val="center"/>
          </w:tcPr>
          <w:p>
            <w:pPr>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弱电系统管理</w:t>
            </w: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1、系统设备配置齐全、运行正常、现场测试符合要求；</w:t>
            </w:r>
          </w:p>
        </w:tc>
        <w:tc>
          <w:tcPr>
            <w:tcW w:w="653" w:type="dxa"/>
            <w:vMerge w:val="restart"/>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2</w:t>
            </w:r>
          </w:p>
        </w:tc>
        <w:tc>
          <w:tcPr>
            <w:tcW w:w="879" w:type="dxa"/>
            <w:vMerge w:val="restart"/>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一项不符合扣0.5分，一处不符合扣0.2分</w:t>
            </w:r>
          </w:p>
        </w:tc>
        <w:tc>
          <w:tcPr>
            <w:tcW w:w="868" w:type="dxa"/>
            <w:vMerge w:val="restart"/>
            <w:vAlign w:val="center"/>
          </w:tcPr>
          <w:p>
            <w:pPr>
              <w:jc w:val="center"/>
              <w:rPr>
                <w:rFonts w:hint="eastAsia" w:ascii="仿宋" w:hAnsi="仿宋" w:eastAsia="仿宋" w:cs="仿宋"/>
                <w:vertAlign w:val="baseline"/>
                <w:lang w:eastAsia="zh-CN"/>
              </w:rPr>
            </w:pPr>
          </w:p>
        </w:tc>
        <w:tc>
          <w:tcPr>
            <w:tcW w:w="891" w:type="dxa"/>
            <w:vMerge w:val="restart"/>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2、系统及子系统运行、维修、保养、巡检计划周全、记录完整；</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3、楼宇智能化（消防、安防等）中央控制室实行24小时专人值班，图像、数据、记录清晰完整，并按规定保存备查；</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4、值班人员熟练掌握中控系统工作原理和操作规程，对于系统显示的设备故障和突发事件，能够及时报告报警并作好记录。</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020" w:type="dxa"/>
            <w:vMerge w:val="restart"/>
            <w:vAlign w:val="center"/>
          </w:tcPr>
          <w:p>
            <w:pPr>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电梯系统管理</w:t>
            </w: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1、准用（合格）证、年检证明、紧急电话和乘客注意事项置于轿厢醒目位置；</w:t>
            </w:r>
          </w:p>
        </w:tc>
        <w:tc>
          <w:tcPr>
            <w:tcW w:w="653" w:type="dxa"/>
            <w:vMerge w:val="restart"/>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3</w:t>
            </w:r>
          </w:p>
        </w:tc>
        <w:tc>
          <w:tcPr>
            <w:tcW w:w="879" w:type="dxa"/>
            <w:vMerge w:val="restart"/>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一项不符合扣0.5分，一处不符合扣0.2分</w:t>
            </w:r>
          </w:p>
        </w:tc>
        <w:tc>
          <w:tcPr>
            <w:tcW w:w="868" w:type="dxa"/>
            <w:vMerge w:val="restart"/>
            <w:vAlign w:val="center"/>
          </w:tcPr>
          <w:p>
            <w:pPr>
              <w:jc w:val="center"/>
              <w:rPr>
                <w:rFonts w:hint="eastAsia" w:ascii="仿宋" w:hAnsi="仿宋" w:eastAsia="仿宋" w:cs="仿宋"/>
                <w:vertAlign w:val="baseline"/>
                <w:lang w:eastAsia="zh-CN"/>
              </w:rPr>
            </w:pPr>
          </w:p>
        </w:tc>
        <w:tc>
          <w:tcPr>
            <w:tcW w:w="891" w:type="dxa"/>
            <w:vMerge w:val="restart"/>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2、电梯维修保养合同规范，维保单位的条件符合规定；</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3、电梯机房通风、照明情况良好，配有平层标志线，专业工具齐全；</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4、电梯轿厢、井道内保持清洁，轿厢广告设置有序，无乱贴、乱画；</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5、电梯运行平稳，维修、保养、检修记录完整；</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6、电梯按合同约定时间运行，出现故障或险情，维修人员接到报修后在规定时间内到达现场。</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020" w:type="dxa"/>
            <w:vMerge w:val="restart"/>
            <w:vAlign w:val="center"/>
          </w:tcPr>
          <w:p>
            <w:pPr>
              <w:jc w:val="center"/>
              <w:rPr>
                <w:rFonts w:hint="eastAsia" w:ascii="仿宋" w:hAnsi="仿宋" w:eastAsia="仿宋" w:cs="仿宋"/>
                <w:vertAlign w:val="baseline"/>
                <w:lang w:eastAsia="zh-CN"/>
              </w:rPr>
            </w:pPr>
            <w:r>
              <w:rPr>
                <w:rFonts w:hint="eastAsia" w:ascii="仿宋" w:hAnsi="仿宋" w:eastAsia="仿宋" w:cs="仿宋"/>
              </w:rPr>
              <w:t>给排水系统管理</w:t>
            </w: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1、二次供水水质定期检测，符合卫生标准；</w:t>
            </w:r>
          </w:p>
        </w:tc>
        <w:tc>
          <w:tcPr>
            <w:tcW w:w="653" w:type="dxa"/>
            <w:vMerge w:val="restart"/>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3</w:t>
            </w:r>
          </w:p>
        </w:tc>
        <w:tc>
          <w:tcPr>
            <w:tcW w:w="879" w:type="dxa"/>
            <w:vMerge w:val="restart"/>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一项不符合扣0.5分，一处不符合扣0.2分</w:t>
            </w:r>
          </w:p>
        </w:tc>
        <w:tc>
          <w:tcPr>
            <w:tcW w:w="868" w:type="dxa"/>
            <w:vMerge w:val="restart"/>
            <w:vAlign w:val="center"/>
          </w:tcPr>
          <w:p>
            <w:pPr>
              <w:jc w:val="center"/>
              <w:rPr>
                <w:rFonts w:hint="eastAsia" w:ascii="仿宋" w:hAnsi="仿宋" w:eastAsia="仿宋" w:cs="仿宋"/>
                <w:vertAlign w:val="baseline"/>
                <w:lang w:eastAsia="zh-CN"/>
              </w:rPr>
            </w:pPr>
          </w:p>
        </w:tc>
        <w:tc>
          <w:tcPr>
            <w:tcW w:w="891" w:type="dxa"/>
            <w:vMerge w:val="restart"/>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2、供水系统设备完好、运行正常，日检查和月、季、年保养制度完善；</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default"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3、排水系统通畅，汛期道路、地下室、设备室及地下车库无积水和浸泡现象；</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020" w:type="dxa"/>
            <w:vMerge w:val="continue"/>
            <w:vAlign w:val="center"/>
          </w:tcPr>
          <w:p>
            <w:pPr>
              <w:jc w:val="both"/>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val="en-US" w:eastAsia="zh-CN"/>
              </w:rPr>
              <w:t>4</w:t>
            </w:r>
            <w:r>
              <w:rPr>
                <w:rFonts w:hint="eastAsia" w:ascii="仿宋" w:hAnsi="仿宋" w:eastAsia="仿宋" w:cs="仿宋"/>
                <w:color w:val="auto"/>
                <w:vertAlign w:val="baseline"/>
                <w:lang w:eastAsia="zh-CN"/>
              </w:rPr>
              <w:t>、水箱加盖上锁，周边无污染源，定期清洗、消毒，检查记录完整；</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val="en-US" w:eastAsia="zh-CN"/>
              </w:rPr>
              <w:t>5</w:t>
            </w:r>
            <w:r>
              <w:rPr>
                <w:rFonts w:hint="eastAsia" w:ascii="仿宋" w:hAnsi="仿宋" w:eastAsia="仿宋" w:cs="仿宋"/>
                <w:color w:val="auto"/>
                <w:vertAlign w:val="baseline"/>
                <w:lang w:eastAsia="zh-CN"/>
              </w:rPr>
              <w:t>、水泵、阀门、管网等设备名称、流向、运行状态标志清晰，无锈蚀、无跑冒滴漏、无污染。</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default"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6、限水、停水事先通知客户，并实施应急供水方案。</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020" w:type="dxa"/>
            <w:vMerge w:val="restart"/>
            <w:vAlign w:val="center"/>
          </w:tcPr>
          <w:p>
            <w:pPr>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消防系统管理</w:t>
            </w: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1、消防设施设置平面图、火警疏散示意图按幢设置在楼层明显位置；</w:t>
            </w:r>
          </w:p>
        </w:tc>
        <w:tc>
          <w:tcPr>
            <w:tcW w:w="653" w:type="dxa"/>
            <w:vMerge w:val="restart"/>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4</w:t>
            </w:r>
          </w:p>
        </w:tc>
        <w:tc>
          <w:tcPr>
            <w:tcW w:w="879" w:type="dxa"/>
            <w:vMerge w:val="restart"/>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一项不符合扣0.5分，一处不符合扣0.2分</w:t>
            </w:r>
          </w:p>
        </w:tc>
        <w:tc>
          <w:tcPr>
            <w:tcW w:w="868" w:type="dxa"/>
            <w:vMerge w:val="restart"/>
            <w:vAlign w:val="center"/>
          </w:tcPr>
          <w:p>
            <w:pPr>
              <w:jc w:val="center"/>
              <w:rPr>
                <w:rFonts w:hint="eastAsia" w:ascii="仿宋" w:hAnsi="仿宋" w:eastAsia="仿宋" w:cs="仿宋"/>
                <w:vertAlign w:val="baseline"/>
                <w:lang w:eastAsia="zh-CN"/>
              </w:rPr>
            </w:pPr>
          </w:p>
        </w:tc>
        <w:tc>
          <w:tcPr>
            <w:tcW w:w="891" w:type="dxa"/>
            <w:vMerge w:val="restart"/>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2、消防监测系统运行良好，自动和手动报警设施启动正常；</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3、消防自动喷淋灭火系统、气体灭火系统能够正常启用；</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default"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4、消防正压送风、防排烟系统能够正常启用；</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val="en-US" w:eastAsia="zh-CN"/>
              </w:rPr>
              <w:t>5</w:t>
            </w:r>
            <w:r>
              <w:rPr>
                <w:rFonts w:hint="eastAsia" w:ascii="仿宋" w:hAnsi="仿宋" w:eastAsia="仿宋" w:cs="仿宋"/>
                <w:color w:val="auto"/>
                <w:vertAlign w:val="baseline"/>
                <w:lang w:eastAsia="zh-CN"/>
              </w:rPr>
              <w:t>、消火栓柜、防火卷帘、防火门、灭火器、疏散指示灯、应急灯及应急工具等消防设施设备完好，并定期组织检验、保养；</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val="en-US" w:eastAsia="zh-CN"/>
              </w:rPr>
              <w:t>6</w:t>
            </w:r>
            <w:r>
              <w:rPr>
                <w:rFonts w:hint="eastAsia" w:ascii="仿宋" w:hAnsi="仿宋" w:eastAsia="仿宋" w:cs="仿宋"/>
                <w:color w:val="auto"/>
                <w:vertAlign w:val="baseline"/>
                <w:lang w:eastAsia="zh-CN"/>
              </w:rPr>
              <w:t>、消防水泵、管网、闸门等设备运行正常，测试、维修、保养记录完整；</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val="en-US" w:eastAsia="zh-CN"/>
              </w:rPr>
              <w:t>7</w:t>
            </w:r>
            <w:r>
              <w:rPr>
                <w:rFonts w:hint="eastAsia" w:ascii="仿宋" w:hAnsi="仿宋" w:eastAsia="仿宋" w:cs="仿宋"/>
                <w:color w:val="auto"/>
                <w:vertAlign w:val="baseline"/>
                <w:lang w:eastAsia="zh-CN"/>
              </w:rPr>
              <w:t>、安全疏散通道畅通，疏散标志和示意图设置合理、醒目；</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val="en-US" w:eastAsia="zh-CN"/>
              </w:rPr>
              <w:t>8</w:t>
            </w:r>
            <w:r>
              <w:rPr>
                <w:rFonts w:hint="eastAsia" w:ascii="仿宋" w:hAnsi="仿宋" w:eastAsia="仿宋" w:cs="仿宋"/>
                <w:color w:val="auto"/>
                <w:vertAlign w:val="baseline"/>
                <w:lang w:eastAsia="zh-CN"/>
              </w:rPr>
              <w:t>、区域消防通道畅通，无杂物堆放，无违章占用。</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1020" w:type="dxa"/>
            <w:vMerge w:val="restart"/>
            <w:vAlign w:val="center"/>
          </w:tcPr>
          <w:p>
            <w:pPr>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空调系统管理</w:t>
            </w: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1、空调系统运行正常，水质符合标准；</w:t>
            </w:r>
          </w:p>
        </w:tc>
        <w:tc>
          <w:tcPr>
            <w:tcW w:w="653" w:type="dxa"/>
            <w:vMerge w:val="restart"/>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3</w:t>
            </w:r>
          </w:p>
        </w:tc>
        <w:tc>
          <w:tcPr>
            <w:tcW w:w="879" w:type="dxa"/>
            <w:vMerge w:val="restart"/>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一项不符合扣0.5分，一处不符合扣0.2分</w:t>
            </w:r>
          </w:p>
          <w:p>
            <w:pPr>
              <w:jc w:val="both"/>
              <w:rPr>
                <w:rFonts w:hint="eastAsia" w:ascii="仿宋" w:hAnsi="仿宋" w:eastAsia="仿宋" w:cs="仿宋"/>
                <w:vertAlign w:val="baseline"/>
                <w:lang w:eastAsia="zh-CN"/>
              </w:rPr>
            </w:pPr>
          </w:p>
        </w:tc>
        <w:tc>
          <w:tcPr>
            <w:tcW w:w="868" w:type="dxa"/>
            <w:vMerge w:val="restart"/>
            <w:vAlign w:val="center"/>
          </w:tcPr>
          <w:p>
            <w:pPr>
              <w:jc w:val="center"/>
              <w:rPr>
                <w:rFonts w:hint="eastAsia" w:ascii="仿宋" w:hAnsi="仿宋" w:eastAsia="仿宋" w:cs="仿宋"/>
                <w:vertAlign w:val="baseline"/>
                <w:lang w:eastAsia="zh-CN"/>
              </w:rPr>
            </w:pPr>
          </w:p>
        </w:tc>
        <w:tc>
          <w:tcPr>
            <w:tcW w:w="891" w:type="dxa"/>
            <w:vMerge w:val="restart"/>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2、冷却塔运行正常，噪声符合规范要求；</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3、空调管道、阀件及仪表完好，无跑、冒、滴、漏现象；</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4、空调系统日常巡查、维修、养护工作符合技术规范要求；</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5、新风、送排风系统运行正常，消毒管道和过滤装置定期清洗，符合规范要求；</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6、空调系统出现故障，维护人员接到报修后在规定时间内到达现场检修。</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020" w:type="dxa"/>
            <w:vMerge w:val="restart"/>
            <w:vAlign w:val="center"/>
          </w:tcPr>
          <w:p>
            <w:pPr>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避雷系统管理</w:t>
            </w: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1、配置避雷设施位置平面图；</w:t>
            </w:r>
          </w:p>
        </w:tc>
        <w:tc>
          <w:tcPr>
            <w:tcW w:w="653" w:type="dxa"/>
            <w:vMerge w:val="restart"/>
            <w:vAlign w:val="center"/>
          </w:tcPr>
          <w:p>
            <w:pPr>
              <w:jc w:val="center"/>
              <w:rPr>
                <w:rFonts w:hint="eastAsia" w:ascii="仿宋" w:hAnsi="仿宋" w:eastAsia="仿宋" w:cs="仿宋"/>
                <w:vertAlign w:val="baseline"/>
                <w:lang w:eastAsia="zh-CN"/>
              </w:rPr>
            </w:pPr>
            <w:r>
              <w:rPr>
                <w:rFonts w:hint="eastAsia" w:ascii="仿宋" w:hAnsi="仿宋" w:eastAsia="仿宋" w:cs="仿宋"/>
                <w:vertAlign w:val="baseline"/>
                <w:lang w:val="en-US" w:eastAsia="zh-CN"/>
              </w:rPr>
              <w:t>1</w:t>
            </w:r>
          </w:p>
        </w:tc>
        <w:tc>
          <w:tcPr>
            <w:tcW w:w="879" w:type="dxa"/>
            <w:vMerge w:val="restart"/>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一项不符合扣0.5分</w:t>
            </w:r>
          </w:p>
        </w:tc>
        <w:tc>
          <w:tcPr>
            <w:tcW w:w="868" w:type="dxa"/>
            <w:vMerge w:val="restart"/>
            <w:vAlign w:val="center"/>
          </w:tcPr>
          <w:p>
            <w:pPr>
              <w:jc w:val="center"/>
              <w:rPr>
                <w:rFonts w:hint="eastAsia" w:ascii="仿宋" w:hAnsi="仿宋" w:eastAsia="仿宋" w:cs="仿宋"/>
                <w:vertAlign w:val="baseline"/>
                <w:lang w:eastAsia="zh-CN"/>
              </w:rPr>
            </w:pPr>
          </w:p>
        </w:tc>
        <w:tc>
          <w:tcPr>
            <w:tcW w:w="891" w:type="dxa"/>
            <w:vMerge w:val="restart"/>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2、避雷设施定期检查、维护，记录完整。</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231" w:type="dxa"/>
            <w:gridSpan w:val="2"/>
            <w:vAlign w:val="center"/>
          </w:tcPr>
          <w:p>
            <w:pPr>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四、公共秩序维护</w:t>
            </w:r>
          </w:p>
        </w:tc>
        <w:tc>
          <w:tcPr>
            <w:tcW w:w="653" w:type="dxa"/>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12</w:t>
            </w:r>
          </w:p>
        </w:tc>
        <w:tc>
          <w:tcPr>
            <w:tcW w:w="879" w:type="dxa"/>
            <w:vAlign w:val="center"/>
          </w:tcPr>
          <w:p>
            <w:pPr>
              <w:jc w:val="both"/>
              <w:rPr>
                <w:rFonts w:hint="eastAsia" w:ascii="仿宋" w:hAnsi="仿宋" w:eastAsia="仿宋" w:cs="仿宋"/>
                <w:vertAlign w:val="baseline"/>
                <w:lang w:eastAsia="zh-CN"/>
              </w:rPr>
            </w:pPr>
          </w:p>
        </w:tc>
        <w:tc>
          <w:tcPr>
            <w:tcW w:w="868" w:type="dxa"/>
            <w:vAlign w:val="center"/>
          </w:tcPr>
          <w:p>
            <w:pPr>
              <w:jc w:val="center"/>
              <w:rPr>
                <w:rFonts w:hint="eastAsia" w:ascii="仿宋" w:hAnsi="仿宋" w:eastAsia="仿宋" w:cs="仿宋"/>
                <w:vertAlign w:val="baseline"/>
                <w:lang w:eastAsia="zh-CN"/>
              </w:rPr>
            </w:pPr>
          </w:p>
        </w:tc>
        <w:tc>
          <w:tcPr>
            <w:tcW w:w="891" w:type="dxa"/>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020" w:type="dxa"/>
            <w:vMerge w:val="restart"/>
            <w:vAlign w:val="center"/>
          </w:tcPr>
          <w:p>
            <w:pPr>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秩序维护管理</w:t>
            </w: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val="en-US" w:eastAsia="zh-CN"/>
              </w:rPr>
              <w:t>1、</w:t>
            </w:r>
            <w:r>
              <w:rPr>
                <w:rFonts w:hint="eastAsia" w:ascii="仿宋" w:hAnsi="仿宋" w:eastAsia="仿宋" w:cs="仿宋"/>
                <w:color w:val="auto"/>
                <w:vertAlign w:val="baseline"/>
                <w:lang w:eastAsia="zh-CN"/>
              </w:rPr>
              <w:t>制定符合项目特点的秩序维护方案；</w:t>
            </w:r>
          </w:p>
        </w:tc>
        <w:tc>
          <w:tcPr>
            <w:tcW w:w="653" w:type="dxa"/>
            <w:vMerge w:val="restart"/>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5</w:t>
            </w:r>
          </w:p>
        </w:tc>
        <w:tc>
          <w:tcPr>
            <w:tcW w:w="879" w:type="dxa"/>
            <w:vMerge w:val="restart"/>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一项不符合扣1分，一处不符合扣0.2分</w:t>
            </w:r>
          </w:p>
        </w:tc>
        <w:tc>
          <w:tcPr>
            <w:tcW w:w="868" w:type="dxa"/>
            <w:vMerge w:val="restart"/>
            <w:vAlign w:val="center"/>
          </w:tcPr>
          <w:p>
            <w:pPr>
              <w:jc w:val="center"/>
              <w:rPr>
                <w:rFonts w:hint="eastAsia" w:ascii="仿宋" w:hAnsi="仿宋" w:eastAsia="仿宋" w:cs="仿宋"/>
                <w:vertAlign w:val="baseline"/>
                <w:lang w:eastAsia="zh-CN"/>
              </w:rPr>
            </w:pPr>
          </w:p>
        </w:tc>
        <w:tc>
          <w:tcPr>
            <w:tcW w:w="891" w:type="dxa"/>
            <w:vMerge w:val="restart"/>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2、秩序维护人员配置合理，岗位责任明确，按照规定频次和路线巡查；</w:t>
            </w:r>
          </w:p>
        </w:tc>
        <w:tc>
          <w:tcPr>
            <w:tcW w:w="653" w:type="dxa"/>
            <w:vMerge w:val="continue"/>
            <w:vAlign w:val="center"/>
          </w:tcPr>
          <w:p>
            <w:pPr>
              <w:jc w:val="center"/>
              <w:rPr>
                <w:rFonts w:hint="eastAsia" w:ascii="仿宋" w:hAnsi="仿宋" w:eastAsia="仿宋" w:cs="仿宋"/>
                <w:vertAlign w:val="baseline"/>
                <w:lang w:val="en-US"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val="en-US" w:eastAsia="zh-CN"/>
              </w:rPr>
              <w:t>3</w:t>
            </w:r>
            <w:r>
              <w:rPr>
                <w:rFonts w:hint="eastAsia" w:ascii="仿宋" w:hAnsi="仿宋" w:eastAsia="仿宋" w:cs="仿宋"/>
                <w:color w:val="auto"/>
                <w:vertAlign w:val="baseline"/>
                <w:lang w:eastAsia="zh-CN"/>
              </w:rPr>
              <w:t>、监控设施和门禁系统运行良好，监控记录保存符合规定要求；</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val="en-US" w:eastAsia="zh-CN"/>
              </w:rPr>
              <w:t>4</w:t>
            </w:r>
            <w:r>
              <w:rPr>
                <w:rFonts w:hint="eastAsia" w:ascii="仿宋" w:hAnsi="仿宋" w:eastAsia="仿宋" w:cs="仿宋"/>
                <w:color w:val="auto"/>
                <w:vertAlign w:val="baseline"/>
                <w:lang w:eastAsia="zh-CN"/>
              </w:rPr>
              <w:t>、安全监控室及主出入口实行24小时值班，对外来人员、车辆和物品进出实行管理；</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5、安全标志设置合理，对可能危及人身安全的地点和设施设备，有明显警示标志和防范措施。</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1020" w:type="dxa"/>
            <w:vMerge w:val="restart"/>
            <w:vAlign w:val="center"/>
          </w:tcPr>
          <w:p>
            <w:pPr>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交通秩序管理</w:t>
            </w: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1、公示停车位（库）管理规定、紧急联系电话等；</w:t>
            </w:r>
          </w:p>
        </w:tc>
        <w:tc>
          <w:tcPr>
            <w:tcW w:w="653" w:type="dxa"/>
            <w:vMerge w:val="restart"/>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4</w:t>
            </w:r>
          </w:p>
        </w:tc>
        <w:tc>
          <w:tcPr>
            <w:tcW w:w="879" w:type="dxa"/>
            <w:vMerge w:val="restart"/>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一项不符合扣0.5分，一处不符合扣0.2分</w:t>
            </w:r>
          </w:p>
        </w:tc>
        <w:tc>
          <w:tcPr>
            <w:tcW w:w="868" w:type="dxa"/>
            <w:vMerge w:val="restart"/>
            <w:vAlign w:val="center"/>
          </w:tcPr>
          <w:p>
            <w:pPr>
              <w:jc w:val="center"/>
              <w:rPr>
                <w:rFonts w:hint="eastAsia" w:ascii="仿宋" w:hAnsi="仿宋" w:eastAsia="仿宋" w:cs="仿宋"/>
                <w:vertAlign w:val="baseline"/>
                <w:lang w:eastAsia="zh-CN"/>
              </w:rPr>
            </w:pPr>
          </w:p>
        </w:tc>
        <w:tc>
          <w:tcPr>
            <w:tcW w:w="891" w:type="dxa"/>
            <w:vMerge w:val="restart"/>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2、停车场、停车位标志规范、清晰，车辆行驶路线设置合理、路线清晰；</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3、固定停放车辆签订停车服务协议，明确相关权利义务；</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4、临时车辆进出登记及时，记录完整；</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5、车辆进出道闸、停车设施运行良好，维修养护及时；</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6、机动、非机动车辆停放有序</w:t>
            </w:r>
            <w:r>
              <w:rPr>
                <w:rFonts w:hint="eastAsia" w:ascii="仿宋" w:hAnsi="仿宋" w:eastAsia="仿宋" w:cs="仿宋"/>
                <w:color w:val="auto"/>
                <w:vertAlign w:val="baseline"/>
                <w:lang w:val="en-US" w:eastAsia="zh-CN"/>
              </w:rPr>
              <w:t>,</w:t>
            </w:r>
            <w:r>
              <w:rPr>
                <w:rFonts w:hint="eastAsia" w:ascii="仿宋" w:hAnsi="仿宋" w:eastAsia="仿宋" w:cs="仿宋"/>
                <w:color w:val="auto"/>
                <w:vertAlign w:val="baseline"/>
                <w:lang w:eastAsia="zh-CN"/>
              </w:rPr>
              <w:t>无乱停乱放现象、无私拉乱扯充电现象；</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7、停车场、库定时巡视检查，高峰时进行车辆秩序引导；</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8、发现交通堵塞及时疏导，发生交通事故及时报告有关部门。</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020" w:type="dxa"/>
            <w:vMerge w:val="restart"/>
            <w:vAlign w:val="center"/>
          </w:tcPr>
          <w:p>
            <w:pPr>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消防安全管理</w:t>
            </w: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1、制定消防安全制度，消防安全操作规程；</w:t>
            </w:r>
          </w:p>
        </w:tc>
        <w:tc>
          <w:tcPr>
            <w:tcW w:w="653" w:type="dxa"/>
            <w:vMerge w:val="restart"/>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3</w:t>
            </w:r>
          </w:p>
        </w:tc>
        <w:tc>
          <w:tcPr>
            <w:tcW w:w="879" w:type="dxa"/>
            <w:vMerge w:val="restart"/>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一项不符合扣0.5分，一处不符合扣0.2分</w:t>
            </w:r>
          </w:p>
        </w:tc>
        <w:tc>
          <w:tcPr>
            <w:tcW w:w="868" w:type="dxa"/>
            <w:vMerge w:val="restart"/>
            <w:vAlign w:val="center"/>
          </w:tcPr>
          <w:p>
            <w:pPr>
              <w:jc w:val="center"/>
              <w:rPr>
                <w:rFonts w:hint="eastAsia" w:ascii="仿宋" w:hAnsi="仿宋" w:eastAsia="仿宋" w:cs="仿宋"/>
                <w:vertAlign w:val="baseline"/>
                <w:lang w:eastAsia="zh-CN"/>
              </w:rPr>
            </w:pPr>
          </w:p>
        </w:tc>
        <w:tc>
          <w:tcPr>
            <w:tcW w:w="891" w:type="dxa"/>
            <w:vMerge w:val="restart"/>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2、实行防火安全责任制，明确消防安全责任人；</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3、消防中控室实行24小时专人值班制度，值班记录完整，消防应急广播正常，随时可用；</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4、消防安全定期巡视检查，消防安全隐患及时整改；</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5、定期开展消防安全宣传，进行消防知识培训；</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6、消防演练每年不少于两次，积极动员业主参与。</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5231" w:type="dxa"/>
            <w:gridSpan w:val="2"/>
            <w:vAlign w:val="center"/>
          </w:tcPr>
          <w:p>
            <w:pPr>
              <w:rPr>
                <w:rFonts w:hint="eastAsia" w:ascii="仿宋" w:hAnsi="仿宋" w:eastAsia="仿宋" w:cs="仿宋"/>
                <w:vertAlign w:val="baseline"/>
                <w:lang w:eastAsia="zh-CN"/>
              </w:rPr>
            </w:pPr>
            <w:r>
              <w:rPr>
                <w:rFonts w:hint="eastAsia" w:ascii="仿宋" w:hAnsi="仿宋" w:eastAsia="仿宋" w:cs="仿宋"/>
                <w:vertAlign w:val="baseline"/>
                <w:lang w:eastAsia="zh-CN"/>
              </w:rPr>
              <w:t>五、环境管理服务</w:t>
            </w:r>
          </w:p>
        </w:tc>
        <w:tc>
          <w:tcPr>
            <w:tcW w:w="653" w:type="dxa"/>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14</w:t>
            </w:r>
          </w:p>
        </w:tc>
        <w:tc>
          <w:tcPr>
            <w:tcW w:w="879" w:type="dxa"/>
            <w:vAlign w:val="center"/>
          </w:tcPr>
          <w:p>
            <w:pPr>
              <w:jc w:val="both"/>
              <w:rPr>
                <w:rFonts w:hint="eastAsia" w:ascii="仿宋" w:hAnsi="仿宋" w:eastAsia="仿宋" w:cs="仿宋"/>
                <w:vertAlign w:val="baseline"/>
                <w:lang w:eastAsia="zh-CN"/>
              </w:rPr>
            </w:pPr>
          </w:p>
        </w:tc>
        <w:tc>
          <w:tcPr>
            <w:tcW w:w="868" w:type="dxa"/>
            <w:vAlign w:val="center"/>
          </w:tcPr>
          <w:p>
            <w:pPr>
              <w:jc w:val="center"/>
              <w:rPr>
                <w:rFonts w:hint="eastAsia" w:ascii="仿宋" w:hAnsi="仿宋" w:eastAsia="仿宋" w:cs="仿宋"/>
                <w:vertAlign w:val="baseline"/>
                <w:lang w:eastAsia="zh-CN"/>
              </w:rPr>
            </w:pPr>
          </w:p>
        </w:tc>
        <w:tc>
          <w:tcPr>
            <w:tcW w:w="891" w:type="dxa"/>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020" w:type="dxa"/>
            <w:vMerge w:val="restart"/>
            <w:vAlign w:val="center"/>
          </w:tcPr>
          <w:p>
            <w:pPr>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保洁</w:t>
            </w:r>
          </w:p>
          <w:p>
            <w:pPr>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服务</w:t>
            </w: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1、制定符合项目特点的保洁服务方案；</w:t>
            </w:r>
          </w:p>
        </w:tc>
        <w:tc>
          <w:tcPr>
            <w:tcW w:w="653" w:type="dxa"/>
            <w:vMerge w:val="restart"/>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10</w:t>
            </w:r>
          </w:p>
        </w:tc>
        <w:tc>
          <w:tcPr>
            <w:tcW w:w="879" w:type="dxa"/>
            <w:vMerge w:val="restart"/>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一项不符合扣1分，一处不符合扣0.2分</w:t>
            </w:r>
          </w:p>
        </w:tc>
        <w:tc>
          <w:tcPr>
            <w:tcW w:w="868" w:type="dxa"/>
            <w:vMerge w:val="restart"/>
            <w:vAlign w:val="center"/>
          </w:tcPr>
          <w:p>
            <w:pPr>
              <w:jc w:val="center"/>
              <w:rPr>
                <w:rFonts w:hint="eastAsia" w:ascii="仿宋" w:hAnsi="仿宋" w:eastAsia="仿宋" w:cs="仿宋"/>
                <w:vertAlign w:val="baseline"/>
                <w:lang w:eastAsia="zh-CN"/>
              </w:rPr>
            </w:pPr>
          </w:p>
        </w:tc>
        <w:tc>
          <w:tcPr>
            <w:tcW w:w="891" w:type="dxa"/>
            <w:vMerge w:val="restart"/>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val="en-US" w:eastAsia="zh-CN"/>
              </w:rPr>
              <w:t>2</w:t>
            </w:r>
            <w:r>
              <w:rPr>
                <w:rFonts w:hint="eastAsia" w:ascii="仿宋" w:hAnsi="仿宋" w:eastAsia="仿宋" w:cs="仿宋"/>
                <w:vertAlign w:val="baseline"/>
                <w:lang w:eastAsia="zh-CN"/>
              </w:rPr>
              <w:t>、保洁人员配置合理，责任区域明确；</w:t>
            </w:r>
          </w:p>
        </w:tc>
        <w:tc>
          <w:tcPr>
            <w:tcW w:w="653" w:type="dxa"/>
            <w:vMerge w:val="continue"/>
            <w:vAlign w:val="center"/>
          </w:tcPr>
          <w:p>
            <w:pPr>
              <w:jc w:val="center"/>
              <w:rPr>
                <w:rFonts w:hint="eastAsia" w:ascii="仿宋" w:hAnsi="仿宋" w:eastAsia="仿宋" w:cs="仿宋"/>
                <w:vertAlign w:val="baseline"/>
                <w:lang w:val="en-US"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val="en-US" w:eastAsia="zh-CN"/>
              </w:rPr>
              <w:t>3</w:t>
            </w:r>
            <w:r>
              <w:rPr>
                <w:rFonts w:hint="eastAsia" w:ascii="仿宋" w:hAnsi="仿宋" w:eastAsia="仿宋" w:cs="仿宋"/>
                <w:vertAlign w:val="baseline"/>
                <w:lang w:eastAsia="zh-CN"/>
              </w:rPr>
              <w:t>、制定并严格执行保洁用品、范围、流程、频次、效果及评价等服务标准；</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val="en-US" w:eastAsia="zh-CN"/>
              </w:rPr>
              <w:t>4</w:t>
            </w:r>
            <w:r>
              <w:rPr>
                <w:rFonts w:hint="eastAsia" w:ascii="仿宋" w:hAnsi="仿宋" w:eastAsia="仿宋" w:cs="仿宋"/>
                <w:vertAlign w:val="baseline"/>
                <w:lang w:eastAsia="zh-CN"/>
              </w:rPr>
              <w:t>、垃圾实行分类管理，工业废料及医疗垃圾等严格按照有关规定处理；</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val="en-US" w:eastAsia="zh-CN"/>
              </w:rPr>
              <w:t>5</w:t>
            </w:r>
            <w:r>
              <w:rPr>
                <w:rFonts w:hint="eastAsia" w:ascii="仿宋" w:hAnsi="仿宋" w:eastAsia="仿宋" w:cs="仿宋"/>
                <w:vertAlign w:val="baseline"/>
                <w:lang w:eastAsia="zh-CN"/>
              </w:rPr>
              <w:t>、保洁设施设备配置合理，工具台账完善，</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val="en-US" w:eastAsia="zh-CN"/>
              </w:rPr>
              <w:t>6</w:t>
            </w:r>
            <w:r>
              <w:rPr>
                <w:rFonts w:hint="eastAsia" w:ascii="仿宋" w:hAnsi="仿宋" w:eastAsia="仿宋" w:cs="仿宋"/>
                <w:vertAlign w:val="baseline"/>
                <w:lang w:eastAsia="zh-CN"/>
              </w:rPr>
              <w:t>、定期对保洁设施设备及公共区域进行卫生消毒；</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val="en-US" w:eastAsia="zh-CN"/>
              </w:rPr>
              <w:t>7</w:t>
            </w:r>
            <w:r>
              <w:rPr>
                <w:rFonts w:hint="eastAsia" w:ascii="仿宋" w:hAnsi="仿宋" w:eastAsia="仿宋" w:cs="仿宋"/>
                <w:vertAlign w:val="baseline"/>
                <w:lang w:eastAsia="zh-CN"/>
              </w:rPr>
              <w:t>、管理区域内道路、绿地、停车场、文体活动区域等共用场地无纸屑、烟头、塑料袋等废弃物；</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val="en-US" w:eastAsia="zh-CN"/>
              </w:rPr>
              <w:t>8</w:t>
            </w:r>
            <w:r>
              <w:rPr>
                <w:rFonts w:hint="eastAsia" w:ascii="仿宋" w:hAnsi="仿宋" w:eastAsia="仿宋" w:cs="仿宋"/>
                <w:vertAlign w:val="baseline"/>
                <w:lang w:eastAsia="zh-CN"/>
              </w:rPr>
              <w:t>、房屋共用部位及共用设施设备保持清洁；</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val="en-US" w:eastAsia="zh-CN"/>
              </w:rPr>
              <w:t>9</w:t>
            </w:r>
            <w:r>
              <w:rPr>
                <w:rFonts w:hint="eastAsia" w:ascii="仿宋" w:hAnsi="仿宋" w:eastAsia="仿宋" w:cs="仿宋"/>
                <w:vertAlign w:val="baseline"/>
                <w:lang w:eastAsia="zh-CN"/>
              </w:rPr>
              <w:t>、及时清理公共场地、道路的积雪、积水；</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val="en-US" w:eastAsia="zh-CN"/>
              </w:rPr>
              <w:t>10</w:t>
            </w:r>
            <w:r>
              <w:rPr>
                <w:rFonts w:hint="eastAsia" w:ascii="仿宋" w:hAnsi="仿宋" w:eastAsia="仿宋" w:cs="仿宋"/>
                <w:vertAlign w:val="baseline"/>
                <w:lang w:eastAsia="zh-CN"/>
              </w:rPr>
              <w:t>、防治鼠害、虫害等有计划，有措施，有记录。</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1020" w:type="dxa"/>
            <w:vMerge w:val="restart"/>
            <w:vAlign w:val="center"/>
          </w:tcPr>
          <w:p>
            <w:pPr>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绿化养护管理</w:t>
            </w: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1、绿化养护人员配置合理，责任区域明确；</w:t>
            </w:r>
          </w:p>
        </w:tc>
        <w:tc>
          <w:tcPr>
            <w:tcW w:w="653" w:type="dxa"/>
            <w:vMerge w:val="restart"/>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4</w:t>
            </w:r>
          </w:p>
        </w:tc>
        <w:tc>
          <w:tcPr>
            <w:tcW w:w="879" w:type="dxa"/>
            <w:vMerge w:val="restart"/>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一项不符合扣</w:t>
            </w:r>
            <w:r>
              <w:rPr>
                <w:rFonts w:hint="eastAsia" w:ascii="仿宋" w:hAnsi="仿宋" w:eastAsia="仿宋" w:cs="仿宋"/>
                <w:vertAlign w:val="baseline"/>
                <w:lang w:val="en-US" w:eastAsia="zh-CN"/>
              </w:rPr>
              <w:t>0.5</w:t>
            </w:r>
            <w:r>
              <w:rPr>
                <w:rFonts w:hint="eastAsia" w:ascii="仿宋" w:hAnsi="仿宋" w:eastAsia="仿宋" w:cs="仿宋"/>
                <w:vertAlign w:val="baseline"/>
                <w:lang w:eastAsia="zh-CN"/>
              </w:rPr>
              <w:t>分，一处不符合扣0.2分</w:t>
            </w:r>
          </w:p>
        </w:tc>
        <w:tc>
          <w:tcPr>
            <w:tcW w:w="868" w:type="dxa"/>
            <w:vMerge w:val="restart"/>
            <w:vAlign w:val="center"/>
          </w:tcPr>
          <w:p>
            <w:pPr>
              <w:jc w:val="center"/>
              <w:rPr>
                <w:rFonts w:hint="eastAsia" w:ascii="仿宋" w:hAnsi="仿宋" w:eastAsia="仿宋" w:cs="仿宋"/>
                <w:vertAlign w:val="baseline"/>
                <w:lang w:eastAsia="zh-CN"/>
              </w:rPr>
            </w:pPr>
          </w:p>
        </w:tc>
        <w:tc>
          <w:tcPr>
            <w:tcW w:w="891" w:type="dxa"/>
            <w:vMerge w:val="restart"/>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2、制定并落实绿化养护计划；</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3、绿化图纸、苗木清单等资料齐全，设备、工具台帐完善；</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4、醒目处设置爱护绿化提示标志，重点树木品种实行标牌管理；</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5、定期组织浇灌、施肥、松土和喷药，提前做好防涝和防冻工作；</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6、绿化作业安全防护措施得当；</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7、各类乔、灌、草等植物长势良好，修剪整齐美观，无折损，无病虫害、斑秃现象；</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8、绿地无破坏、践踏、占用现象，树木无悬挂物及晾晒物品。</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5231" w:type="dxa"/>
            <w:gridSpan w:val="2"/>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六、创新、效益与业主评价</w:t>
            </w:r>
          </w:p>
        </w:tc>
        <w:tc>
          <w:tcPr>
            <w:tcW w:w="653" w:type="dxa"/>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10</w:t>
            </w:r>
          </w:p>
        </w:tc>
        <w:tc>
          <w:tcPr>
            <w:tcW w:w="879" w:type="dxa"/>
            <w:vAlign w:val="center"/>
          </w:tcPr>
          <w:p>
            <w:pPr>
              <w:jc w:val="both"/>
              <w:rPr>
                <w:rFonts w:hint="eastAsia" w:ascii="仿宋" w:hAnsi="仿宋" w:eastAsia="仿宋" w:cs="仿宋"/>
                <w:vertAlign w:val="baseline"/>
                <w:lang w:eastAsia="zh-CN"/>
              </w:rPr>
            </w:pPr>
          </w:p>
        </w:tc>
        <w:tc>
          <w:tcPr>
            <w:tcW w:w="868" w:type="dxa"/>
            <w:vAlign w:val="center"/>
          </w:tcPr>
          <w:p>
            <w:pPr>
              <w:jc w:val="center"/>
              <w:rPr>
                <w:rFonts w:hint="eastAsia" w:ascii="仿宋" w:hAnsi="仿宋" w:eastAsia="仿宋" w:cs="仿宋"/>
                <w:vertAlign w:val="baseline"/>
                <w:lang w:eastAsia="zh-CN"/>
              </w:rPr>
            </w:pPr>
          </w:p>
        </w:tc>
        <w:tc>
          <w:tcPr>
            <w:tcW w:w="891" w:type="dxa"/>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trPr>
        <w:tc>
          <w:tcPr>
            <w:tcW w:w="1020" w:type="dxa"/>
            <w:vMerge w:val="restart"/>
            <w:vAlign w:val="center"/>
          </w:tcPr>
          <w:p>
            <w:pPr>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服务</w:t>
            </w:r>
          </w:p>
          <w:p>
            <w:pPr>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创新</w:t>
            </w: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1、建立并运行计算机辅助管理系统，运用社区网络、智能技术等信息化手段及其最新科技成果开展管理服务工作；</w:t>
            </w:r>
          </w:p>
        </w:tc>
        <w:tc>
          <w:tcPr>
            <w:tcW w:w="653" w:type="dxa"/>
            <w:vMerge w:val="restart"/>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4</w:t>
            </w:r>
          </w:p>
        </w:tc>
        <w:tc>
          <w:tcPr>
            <w:tcW w:w="879" w:type="dxa"/>
            <w:vMerge w:val="restart"/>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一项不符合扣1分</w:t>
            </w:r>
          </w:p>
        </w:tc>
        <w:tc>
          <w:tcPr>
            <w:tcW w:w="868" w:type="dxa"/>
            <w:vMerge w:val="restart"/>
            <w:vAlign w:val="center"/>
          </w:tcPr>
          <w:p>
            <w:pPr>
              <w:jc w:val="center"/>
              <w:rPr>
                <w:rFonts w:hint="eastAsia" w:ascii="仿宋" w:hAnsi="仿宋" w:eastAsia="仿宋" w:cs="仿宋"/>
                <w:vertAlign w:val="baseline"/>
                <w:lang w:eastAsia="zh-CN"/>
              </w:rPr>
            </w:pPr>
          </w:p>
        </w:tc>
        <w:tc>
          <w:tcPr>
            <w:tcW w:w="891" w:type="dxa"/>
            <w:vMerge w:val="restart"/>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2、建立并运行服务质量管理控制系统，运用先进管理工具实施物业服务全过程管控；</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center"/>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3、制定并实施节能减排计划和方案，运用技术改造和管理创新等手段节约公用能源资源消耗，减少污染物排放；</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center"/>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4、建立并推行新型商业模式，通过提供物业资产经营管理服务和住户生活配套服务等方式，满足业主的个性化需求。</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center"/>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020" w:type="dxa"/>
            <w:vMerge w:val="restart"/>
            <w:vAlign w:val="center"/>
          </w:tcPr>
          <w:p>
            <w:pPr>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经营</w:t>
            </w:r>
          </w:p>
          <w:p>
            <w:pPr>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效益</w:t>
            </w: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1、业主交费主动及时，收费率达95%以上；</w:t>
            </w:r>
          </w:p>
        </w:tc>
        <w:tc>
          <w:tcPr>
            <w:tcW w:w="653" w:type="dxa"/>
            <w:vMerge w:val="restart"/>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2</w:t>
            </w:r>
          </w:p>
        </w:tc>
        <w:tc>
          <w:tcPr>
            <w:tcW w:w="879" w:type="dxa"/>
            <w:vMerge w:val="restart"/>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一项不符合扣1分</w:t>
            </w:r>
          </w:p>
        </w:tc>
        <w:tc>
          <w:tcPr>
            <w:tcW w:w="868" w:type="dxa"/>
            <w:vMerge w:val="restart"/>
            <w:vAlign w:val="center"/>
          </w:tcPr>
          <w:p>
            <w:pPr>
              <w:jc w:val="center"/>
              <w:rPr>
                <w:rFonts w:hint="eastAsia" w:ascii="仿宋" w:hAnsi="仿宋" w:eastAsia="仿宋" w:cs="仿宋"/>
                <w:vertAlign w:val="baseline"/>
                <w:lang w:eastAsia="zh-CN"/>
              </w:rPr>
            </w:pPr>
          </w:p>
        </w:tc>
        <w:tc>
          <w:tcPr>
            <w:tcW w:w="891" w:type="dxa"/>
            <w:vMerge w:val="restart"/>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2、项目两个年度以上持续盈利，经营状况良好。</w:t>
            </w:r>
          </w:p>
        </w:tc>
        <w:tc>
          <w:tcPr>
            <w:tcW w:w="653" w:type="dxa"/>
            <w:vMerge w:val="continue"/>
            <w:vAlign w:val="center"/>
          </w:tcPr>
          <w:p>
            <w:pPr>
              <w:jc w:val="center"/>
              <w:rPr>
                <w:rFonts w:hint="default" w:ascii="仿宋" w:hAnsi="仿宋" w:eastAsia="仿宋" w:cs="仿宋"/>
                <w:vertAlign w:val="baseline"/>
                <w:lang w:val="en-US"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trPr>
        <w:tc>
          <w:tcPr>
            <w:tcW w:w="1020" w:type="dxa"/>
            <w:vMerge w:val="restart"/>
            <w:vAlign w:val="center"/>
          </w:tcPr>
          <w:p>
            <w:pPr>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业主</w:t>
            </w:r>
          </w:p>
          <w:p>
            <w:pPr>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满意</w:t>
            </w: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1、每年至少开展</w:t>
            </w:r>
            <w:r>
              <w:rPr>
                <w:rFonts w:hint="eastAsia" w:ascii="仿宋" w:hAnsi="仿宋" w:eastAsia="仿宋" w:cs="仿宋"/>
                <w:vertAlign w:val="baseline"/>
                <w:lang w:val="en-US" w:eastAsia="zh-CN"/>
              </w:rPr>
              <w:t>2</w:t>
            </w:r>
            <w:r>
              <w:rPr>
                <w:rFonts w:hint="eastAsia" w:ascii="仿宋" w:hAnsi="仿宋" w:eastAsia="仿宋" w:cs="仿宋"/>
                <w:vertAlign w:val="baseline"/>
                <w:lang w:eastAsia="zh-CN"/>
              </w:rPr>
              <w:t>次业主满意率调查，调查覆盖率不低于</w:t>
            </w:r>
            <w:r>
              <w:rPr>
                <w:rFonts w:hint="eastAsia" w:ascii="仿宋" w:hAnsi="仿宋" w:eastAsia="仿宋" w:cs="仿宋"/>
                <w:vertAlign w:val="baseline"/>
                <w:lang w:val="en-US" w:eastAsia="zh-CN"/>
              </w:rPr>
              <w:t>5</w:t>
            </w:r>
            <w:r>
              <w:rPr>
                <w:rFonts w:hint="eastAsia" w:ascii="仿宋" w:hAnsi="仿宋" w:eastAsia="仿宋" w:cs="仿宋"/>
                <w:vertAlign w:val="baseline"/>
                <w:lang w:eastAsia="zh-CN"/>
              </w:rPr>
              <w:t>0%，具备条件的，可邀请第三方机构开展业主满意度测评；</w:t>
            </w:r>
          </w:p>
        </w:tc>
        <w:tc>
          <w:tcPr>
            <w:tcW w:w="653" w:type="dxa"/>
            <w:vMerge w:val="restart"/>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4</w:t>
            </w:r>
          </w:p>
        </w:tc>
        <w:tc>
          <w:tcPr>
            <w:tcW w:w="879" w:type="dxa"/>
            <w:vMerge w:val="restart"/>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一项不符合扣1分</w:t>
            </w:r>
          </w:p>
        </w:tc>
        <w:tc>
          <w:tcPr>
            <w:tcW w:w="868" w:type="dxa"/>
            <w:vMerge w:val="restart"/>
            <w:vAlign w:val="center"/>
          </w:tcPr>
          <w:p>
            <w:pPr>
              <w:jc w:val="center"/>
              <w:rPr>
                <w:rFonts w:hint="eastAsia" w:ascii="仿宋" w:hAnsi="仿宋" w:eastAsia="仿宋" w:cs="仿宋"/>
                <w:vertAlign w:val="baseline"/>
                <w:lang w:eastAsia="zh-CN"/>
              </w:rPr>
            </w:pPr>
          </w:p>
        </w:tc>
        <w:tc>
          <w:tcPr>
            <w:tcW w:w="891" w:type="dxa"/>
            <w:vMerge w:val="restart"/>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2、业主满意率应达95%以上；</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center"/>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3、满意率调查和满意度测评的内容应涵盖本标准的内容及物业服务合同的约定；</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center"/>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4、调查和测评结果有书面报告并向业主公示，调查和测评发现的问题持续改进，改进结果向业主公示。</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center"/>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bl>
    <w:p>
      <w:pPr>
        <w:rPr>
          <w:rFonts w:hint="eastAsia"/>
          <w:lang w:eastAsia="zh-CN"/>
        </w:rPr>
      </w:pPr>
    </w:p>
    <w:p>
      <w:pPr>
        <w:rPr>
          <w:rFonts w:hint="default" w:ascii="仿宋" w:hAnsi="仿宋" w:eastAsia="仿宋" w:cs="仿宋"/>
          <w:sz w:val="32"/>
          <w:szCs w:val="32"/>
          <w:lang w:val="en-US" w:eastAsia="zh-CN"/>
        </w:rPr>
      </w:pPr>
    </w:p>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D90BDD"/>
    <w:rsid w:val="0CF603DA"/>
    <w:rsid w:val="254670CF"/>
    <w:rsid w:val="57D90B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2020-05-09T10:15:00Z</dcterms:created>
  <dc:creator>黄磊</dc:creator>
  <cp:lastModifiedBy>黄磊</cp:lastModifiedBy>
  <dcterms:modified xsi:type="dcterms:W3CDTF">2020-05-14T06:36:49Z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