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参观学习报名回执表</w:t>
      </w:r>
    </w:p>
    <w:bookmarkEnd w:id="0"/>
    <w:p>
      <w:pPr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 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</w:t>
      </w:r>
    </w:p>
    <w:tbl>
      <w:tblPr>
        <w:tblStyle w:val="3"/>
        <w:tblW w:w="10207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850"/>
        <w:gridCol w:w="1276"/>
        <w:gridCol w:w="1843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姓名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性别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职务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联系电话</w:t>
            </w: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是否需要安排食宿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26日晚餐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，27日午餐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，27日晚餐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，26日住宿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，27日住宿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，单住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</w:p>
          <w:p>
            <w:pPr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合住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，不住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26日晚餐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，27日午餐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，27日晚餐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，26日住宿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，27日住宿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，单住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合住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，不住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26日晚餐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，27日午餐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，27日晚餐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，26日住宿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，27日住宿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，单住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合住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，不住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26日晚餐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，27日午餐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，27日晚餐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，26日住宿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，27日住宿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，单住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合住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，不住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11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26日晚餐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，27日午餐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，27日晚餐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，26日住宿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，27日住宿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，单住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合住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，不住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</w:p>
        </w:tc>
      </w:tr>
    </w:tbl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备注：1.如需安排食宿请在</w:t>
      </w:r>
      <w:r>
        <w:rPr>
          <w:rFonts w:hint="eastAsia" w:ascii="宋体" w:hAnsi="宋体" w:eastAsia="宋体" w:cs="宋体"/>
          <w:sz w:val="24"/>
        </w:rPr>
        <w:t>□</w:t>
      </w:r>
      <w:r>
        <w:rPr>
          <w:rFonts w:hint="eastAsia" w:ascii="仿宋" w:hAnsi="仿宋" w:eastAsia="仿宋" w:cs="仿宋"/>
          <w:sz w:val="24"/>
        </w:rPr>
        <w:t>内勾选，未勾选的视为无需安排。</w:t>
      </w:r>
    </w:p>
    <w:p>
      <w:pPr>
        <w:ind w:firstLine="72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>2.合住学员请在报名表后方标准合住对象，未标注的由协会协调安排。</w:t>
      </w:r>
    </w:p>
    <w:p/>
    <w:p/>
    <w:sectPr>
      <w:footerReference r:id="rId3" w:type="default"/>
      <w:footerReference r:id="rId4" w:type="even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566CC"/>
    <w:rsid w:val="25C5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2019-08-12T08:06:00Z</dcterms:created>
  <dc:creator>黄磊</dc:creator>
  <cp:lastModifiedBy>黄磊</cp:lastModifiedBy>
  <dcterms:modified xsi:type="dcterms:W3CDTF">2019-08-12T08:07:02Z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